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A7C686" w14:textId="0579C4B0" w:rsidR="00953D4F" w:rsidRPr="00623C5F" w:rsidRDefault="00953D4F" w:rsidP="00953D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3C5F">
        <w:rPr>
          <w:b/>
          <w:noProof/>
          <w:sz w:val="24"/>
        </w:rPr>
        <w:t>3GPP TSG-RAN WG2 Meeting #97bis</w:t>
      </w:r>
      <w:r w:rsidRPr="00623C5F">
        <w:rPr>
          <w:b/>
          <w:noProof/>
          <w:sz w:val="24"/>
        </w:rPr>
        <w:tab/>
        <w:t>R2-17</w:t>
      </w:r>
      <w:r w:rsidR="0051474C">
        <w:rPr>
          <w:b/>
          <w:noProof/>
          <w:sz w:val="24"/>
        </w:rPr>
        <w:t>034</w:t>
      </w:r>
      <w:r w:rsidR="0051474C">
        <w:rPr>
          <w:b/>
          <w:noProof/>
          <w:sz w:val="24"/>
        </w:rPr>
        <w:t>99</w:t>
      </w:r>
    </w:p>
    <w:p w14:paraId="74C39820" w14:textId="3977EA3B" w:rsidR="007B48FB" w:rsidRPr="003F1396" w:rsidRDefault="00953D4F" w:rsidP="00953D4F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sz w:val="24"/>
          <w:lang w:eastAsia="ko-KR"/>
        </w:rPr>
      </w:pPr>
      <w:r w:rsidRPr="00623C5F">
        <w:rPr>
          <w:b/>
          <w:noProof/>
          <w:sz w:val="24"/>
        </w:rPr>
        <w:t>Spokane, USA, 3rd – 7th April 2017</w:t>
      </w:r>
      <w:r w:rsidR="007B48FB" w:rsidRPr="003F1396">
        <w:rPr>
          <w:rFonts w:eastAsia="맑은 고딕" w:cs="Arial"/>
          <w:b/>
          <w:noProof/>
          <w:sz w:val="24"/>
          <w:lang w:eastAsia="ko-KR"/>
        </w:rPr>
        <w:tab/>
      </w:r>
    </w:p>
    <w:p w14:paraId="1D0846DF" w14:textId="6D935A06" w:rsidR="0013687D" w:rsidRPr="003F1396" w:rsidRDefault="0013687D" w:rsidP="00B82B7A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sz w:val="24"/>
          <w:lang w:eastAsia="ko-KR"/>
        </w:rPr>
      </w:pPr>
      <w:r w:rsidRPr="003F1396">
        <w:rPr>
          <w:rFonts w:eastAsia="맑은 고딕" w:cs="Arial"/>
          <w:b/>
          <w:noProof/>
          <w:sz w:val="24"/>
          <w:lang w:eastAsia="ko-KR"/>
        </w:rPr>
        <w:tab/>
      </w:r>
    </w:p>
    <w:p w14:paraId="6193A42A" w14:textId="77777777" w:rsidR="0013687D" w:rsidRPr="003F1396" w:rsidRDefault="0013687D" w:rsidP="0013687D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sz w:val="24"/>
          <w:lang w:eastAsia="ko-KR"/>
        </w:rPr>
      </w:pPr>
    </w:p>
    <w:p w14:paraId="780DC036" w14:textId="595BE397" w:rsidR="00215D97" w:rsidRPr="003F1396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723DEB"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8.6.</w:t>
      </w:r>
      <w:r w:rsidR="00AE56C8">
        <w:rPr>
          <w:rFonts w:ascii="Arial" w:hAnsi="Arial" w:cs="Arial"/>
          <w:b/>
          <w:noProof/>
          <w:sz w:val="28"/>
          <w:szCs w:val="28"/>
          <w:lang w:val="en-US" w:eastAsia="ko-KR"/>
        </w:rPr>
        <w:t>1</w:t>
      </w:r>
      <w:r w:rsidR="00723DEB"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341ACD" w:rsidRPr="00341ACD">
        <w:rPr>
          <w:rFonts w:ascii="Arial" w:hAnsi="Arial" w:cs="Arial"/>
          <w:b/>
          <w:noProof/>
          <w:sz w:val="28"/>
          <w:szCs w:val="28"/>
          <w:lang w:val="en-US" w:eastAsia="ko-KR"/>
        </w:rPr>
        <w:t>LTE_eMob-Core</w:t>
      </w:r>
      <w:r w:rsidR="00971D6C"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3F1396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5D5619A" w:rsidR="00215D97" w:rsidRPr="003F1396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7E23E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Release of </w:t>
      </w:r>
      <w:r w:rsidR="00F006E1" w:rsidRPr="00F006E1">
        <w:rPr>
          <w:rFonts w:ascii="Arial" w:hAnsi="Arial" w:cs="Arial"/>
          <w:b/>
          <w:noProof/>
          <w:sz w:val="28"/>
          <w:szCs w:val="28"/>
          <w:lang w:val="en-US" w:eastAsia="ko-KR"/>
        </w:rPr>
        <w:t>Preallocated uplink grant</w:t>
      </w:r>
    </w:p>
    <w:p w14:paraId="5BFD0438" w14:textId="77777777" w:rsidR="00215D97" w:rsidRPr="003F1396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 w:rsidRPr="003F1396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Discussion and Decision</w:t>
      </w:r>
    </w:p>
    <w:p w14:paraId="1497D10E" w14:textId="77777777" w:rsidR="0013687D" w:rsidRPr="003F1396" w:rsidRDefault="0013687D" w:rsidP="0013687D">
      <w:pPr>
        <w:pStyle w:val="1"/>
        <w:rPr>
          <w:rFonts w:cs="Arial"/>
          <w:lang w:val="en-US" w:eastAsia="ko-KR"/>
        </w:rPr>
      </w:pPr>
      <w:r w:rsidRPr="003F1396">
        <w:rPr>
          <w:rFonts w:cs="Arial"/>
          <w:lang w:val="en-US"/>
        </w:rPr>
        <w:t>1.</w:t>
      </w:r>
      <w:r w:rsidRPr="003F1396">
        <w:rPr>
          <w:rFonts w:cs="Arial"/>
          <w:lang w:val="en-US"/>
        </w:rPr>
        <w:tab/>
      </w:r>
      <w:r w:rsidRPr="003F1396">
        <w:rPr>
          <w:rFonts w:cs="Arial"/>
          <w:lang w:val="en-US" w:eastAsia="ko-KR"/>
        </w:rPr>
        <w:t>Introduction</w:t>
      </w:r>
    </w:p>
    <w:p w14:paraId="53EDE98E" w14:textId="7A58BDD3" w:rsidR="00284D97" w:rsidRPr="00390149" w:rsidRDefault="00390149" w:rsidP="00284D97">
      <w:pPr>
        <w:spacing w:after="180" w:line="240" w:lineRule="auto"/>
        <w:jc w:val="left"/>
        <w:rPr>
          <w:rFonts w:eastAsiaTheme="minorEastAsia"/>
        </w:rPr>
      </w:pPr>
      <w:r>
        <w:rPr>
          <w:rFonts w:eastAsiaTheme="minorEastAsia"/>
          <w:lang w:val="en-US"/>
        </w:rPr>
        <w:t>In order to allow UE to skip RA procedure while handover or SCG change, the UE</w:t>
      </w:r>
      <w:r>
        <w:rPr>
          <w:rFonts w:eastAsiaTheme="minorEastAsia"/>
        </w:rPr>
        <w:t xml:space="preserve"> receives preallocated uplink grant via </w:t>
      </w:r>
      <w:r>
        <w:rPr>
          <w:rFonts w:eastAsiaTheme="minorEastAsia"/>
          <w:i/>
        </w:rPr>
        <w:t>ul-ConfigInfo</w:t>
      </w:r>
      <w:r>
        <w:rPr>
          <w:rFonts w:eastAsiaTheme="minorEastAsia"/>
        </w:rPr>
        <w:t xml:space="preserve">. </w:t>
      </w:r>
      <w:r w:rsidR="006F1DA6">
        <w:rPr>
          <w:rFonts w:eastAsiaTheme="minorEastAsia"/>
        </w:rPr>
        <w:t xml:space="preserve">However, the UE may not release the preallocated uplink grant even in case of handover failure and SCG change failure. In this contribution, we present our understanding on this. </w:t>
      </w:r>
      <w:r w:rsidR="0094272D">
        <w:rPr>
          <w:rFonts w:eastAsiaTheme="minorEastAsia"/>
        </w:rPr>
        <w:t xml:space="preserve"> </w:t>
      </w:r>
    </w:p>
    <w:p w14:paraId="355B5199" w14:textId="454F63F9" w:rsidR="0013687D" w:rsidRPr="003F1396" w:rsidRDefault="00F82D14" w:rsidP="0013687D">
      <w:pPr>
        <w:pStyle w:val="1"/>
        <w:rPr>
          <w:rFonts w:cs="Arial"/>
          <w:lang w:val="en-US"/>
        </w:rPr>
      </w:pPr>
      <w:r w:rsidRPr="003F1396">
        <w:rPr>
          <w:rFonts w:cs="Arial"/>
          <w:lang w:val="en-US" w:eastAsia="ko-KR"/>
        </w:rPr>
        <w:t>2</w:t>
      </w:r>
      <w:r w:rsidR="0013687D" w:rsidRPr="003F1396">
        <w:rPr>
          <w:rFonts w:cs="Arial"/>
          <w:lang w:val="en-US"/>
        </w:rPr>
        <w:t>.</w:t>
      </w:r>
      <w:r w:rsidR="0013687D" w:rsidRPr="003F1396">
        <w:rPr>
          <w:rFonts w:cs="Arial"/>
          <w:lang w:val="en-US"/>
        </w:rPr>
        <w:tab/>
      </w:r>
      <w:r w:rsidR="00CC730E">
        <w:rPr>
          <w:rFonts w:cs="Arial"/>
          <w:lang w:val="en-US"/>
        </w:rPr>
        <w:t>Open issues in MAC CR</w:t>
      </w:r>
    </w:p>
    <w:p w14:paraId="316AB1EC" w14:textId="36468A25" w:rsidR="0094272D" w:rsidRDefault="0094272D" w:rsidP="00165947">
      <w:pPr>
        <w:spacing w:after="180" w:line="240" w:lineRule="auto"/>
        <w:jc w:val="left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According to TS36.331, preallocated uplink grant is assigned/released as follows:</w:t>
      </w:r>
    </w:p>
    <w:p w14:paraId="1034023D" w14:textId="3B5C6801" w:rsidR="0094272D" w:rsidRPr="0094272D" w:rsidRDefault="0094272D" w:rsidP="0094272D">
      <w:pPr>
        <w:pStyle w:val="a6"/>
        <w:numPr>
          <w:ilvl w:val="0"/>
          <w:numId w:val="27"/>
        </w:numPr>
        <w:spacing w:after="180" w:line="240" w:lineRule="auto"/>
        <w:ind w:leftChars="0"/>
        <w:jc w:val="left"/>
        <w:rPr>
          <w:rFonts w:ascii="Arial" w:eastAsiaTheme="minorEastAsia" w:hAnsi="Arial" w:cs="Arial"/>
          <w:b/>
        </w:rPr>
      </w:pPr>
      <w:r>
        <w:rPr>
          <w:rFonts w:eastAsiaTheme="minorEastAsia"/>
          <w:lang w:val="en-US"/>
        </w:rPr>
        <w:t xml:space="preserve">Preallocated uplink grant is assigned </w:t>
      </w:r>
      <w:r w:rsidR="003F3D23">
        <w:rPr>
          <w:rFonts w:eastAsiaTheme="minorEastAsia"/>
          <w:lang w:val="en-US"/>
        </w:rPr>
        <w:t>by</w:t>
      </w:r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  <w:i/>
          <w:lang w:val="en-US"/>
        </w:rPr>
        <w:t>ul-ConfigInfo</w:t>
      </w:r>
      <w:r w:rsidR="003F3D23">
        <w:rPr>
          <w:rFonts w:eastAsiaTheme="minorEastAsia"/>
          <w:i/>
          <w:lang w:val="en-US"/>
        </w:rPr>
        <w:t xml:space="preserve"> </w:t>
      </w:r>
      <w:r w:rsidR="003F3D23">
        <w:rPr>
          <w:rFonts w:eastAsiaTheme="minorEastAsia"/>
          <w:lang w:val="en-US"/>
        </w:rPr>
        <w:t xml:space="preserve">of </w:t>
      </w:r>
      <w:r w:rsidR="003F3D23">
        <w:rPr>
          <w:rFonts w:eastAsiaTheme="minorEastAsia"/>
          <w:i/>
          <w:lang w:val="en-US"/>
        </w:rPr>
        <w:t>rach-Skip</w:t>
      </w:r>
      <w:r w:rsidR="003F3D23">
        <w:rPr>
          <w:rFonts w:eastAsiaTheme="minorEastAsia"/>
          <w:lang w:val="en-US"/>
        </w:rPr>
        <w:t xml:space="preserve"> via </w:t>
      </w:r>
      <w:r w:rsidR="003F3D23" w:rsidRPr="00A9351C">
        <w:rPr>
          <w:bCs/>
          <w:i/>
          <w:iCs/>
        </w:rPr>
        <w:t>MobilityControlInfo</w:t>
      </w:r>
      <w:r w:rsidR="003F3D23">
        <w:rPr>
          <w:bCs/>
          <w:i/>
          <w:iCs/>
        </w:rPr>
        <w:t xml:space="preserve"> </w:t>
      </w:r>
      <w:r w:rsidR="003F3D23" w:rsidRPr="003F3D23">
        <w:rPr>
          <w:bCs/>
          <w:iCs/>
        </w:rPr>
        <w:t>IE</w:t>
      </w:r>
      <w:r>
        <w:rPr>
          <w:rFonts w:eastAsiaTheme="minorEastAsia"/>
          <w:i/>
          <w:lang w:val="en-US"/>
        </w:rPr>
        <w:t>.</w:t>
      </w:r>
    </w:p>
    <w:p w14:paraId="54E9D4BC" w14:textId="276114B5" w:rsidR="0094272D" w:rsidRDefault="00284A2C" w:rsidP="0094272D">
      <w:pPr>
        <w:pStyle w:val="a6"/>
        <w:numPr>
          <w:ilvl w:val="0"/>
          <w:numId w:val="27"/>
        </w:numPr>
        <w:spacing w:after="180" w:line="240" w:lineRule="auto"/>
        <w:ind w:leftChars="0"/>
        <w:jc w:val="left"/>
        <w:rPr>
          <w:noProof/>
        </w:rPr>
      </w:pPr>
      <w:r>
        <w:rPr>
          <w:noProof/>
        </w:rPr>
        <w:t xml:space="preserve">In case of </w:t>
      </w:r>
      <w:r w:rsidR="003F3D23">
        <w:rPr>
          <w:noProof/>
        </w:rPr>
        <w:t>successful handover/SCG change</w:t>
      </w:r>
      <w:r w:rsidR="0094272D">
        <w:rPr>
          <w:rFonts w:hint="eastAsia"/>
          <w:noProof/>
        </w:rPr>
        <w:t>, T304</w:t>
      </w:r>
      <w:r w:rsidR="0094272D">
        <w:rPr>
          <w:noProof/>
        </w:rPr>
        <w:t xml:space="preserve">/T307 stops and </w:t>
      </w:r>
      <w:r w:rsidR="0094272D">
        <w:rPr>
          <w:i/>
          <w:noProof/>
        </w:rPr>
        <w:t xml:space="preserve">ul-ConfigInfo </w:t>
      </w:r>
      <w:r w:rsidR="0094272D">
        <w:rPr>
          <w:noProof/>
        </w:rPr>
        <w:t xml:space="preserve">is </w:t>
      </w:r>
      <w:r>
        <w:rPr>
          <w:noProof/>
        </w:rPr>
        <w:t xml:space="preserve">explicitly </w:t>
      </w:r>
      <w:r w:rsidR="0094272D">
        <w:rPr>
          <w:noProof/>
        </w:rPr>
        <w:t>released.</w:t>
      </w:r>
    </w:p>
    <w:p w14:paraId="4E3F79EC" w14:textId="328B7D06" w:rsidR="0094272D" w:rsidRDefault="00284A2C" w:rsidP="0094272D">
      <w:pPr>
        <w:spacing w:after="180" w:line="240" w:lineRule="auto"/>
        <w:jc w:val="left"/>
        <w:rPr>
          <w:noProof/>
        </w:rPr>
      </w:pPr>
      <w:r>
        <w:rPr>
          <w:noProof/>
        </w:rPr>
        <w:t>In our understanding, however, i</w:t>
      </w:r>
      <w:r w:rsidR="003F3D23">
        <w:rPr>
          <w:noProof/>
        </w:rPr>
        <w:t>f handover fails</w:t>
      </w:r>
      <w:r w:rsidR="0094272D">
        <w:rPr>
          <w:noProof/>
        </w:rPr>
        <w:t xml:space="preserve">, i.e., upon T304 expiry, </w:t>
      </w:r>
      <w:r>
        <w:rPr>
          <w:noProof/>
        </w:rPr>
        <w:t xml:space="preserve">it is unclear when the preallocated uplink grant is released. Upon handover failure, </w:t>
      </w:r>
      <w:r w:rsidR="00012192">
        <w:rPr>
          <w:noProof/>
        </w:rPr>
        <w:t>the UE performs the followings as in S5.3.5.6: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012192" w14:paraId="00733F63" w14:textId="77777777" w:rsidTr="0001219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2DC9045" w14:textId="77777777" w:rsidR="00B36C2C" w:rsidRPr="00B36C2C" w:rsidRDefault="00B36C2C" w:rsidP="00B36C2C">
            <w:pPr>
              <w:pStyle w:val="4"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Chars="0" w:left="1418" w:firstLineChars="0" w:hanging="1418"/>
              <w:jc w:val="left"/>
              <w:textAlignment w:val="baseline"/>
              <w:outlineLvl w:val="3"/>
              <w:rPr>
                <w:rFonts w:ascii="Arial" w:eastAsiaTheme="minorEastAsia" w:hAnsi="Arial"/>
                <w:b w:val="0"/>
                <w:bCs w:val="0"/>
                <w:sz w:val="24"/>
                <w:lang w:val="x-none" w:eastAsia="x-none"/>
              </w:rPr>
            </w:pPr>
            <w:bookmarkStart w:id="0" w:name="_Toc478015242"/>
            <w:r w:rsidRPr="00B36C2C">
              <w:rPr>
                <w:rFonts w:ascii="Arial" w:eastAsiaTheme="minorEastAsia" w:hAnsi="Arial"/>
                <w:b w:val="0"/>
                <w:bCs w:val="0"/>
                <w:sz w:val="24"/>
                <w:lang w:val="x-none" w:eastAsia="x-none"/>
              </w:rPr>
              <w:t>5.3.5.6</w:t>
            </w:r>
            <w:r w:rsidRPr="00B36C2C">
              <w:rPr>
                <w:rFonts w:ascii="Arial" w:eastAsiaTheme="minorEastAsia" w:hAnsi="Arial"/>
                <w:b w:val="0"/>
                <w:bCs w:val="0"/>
                <w:sz w:val="24"/>
                <w:lang w:val="x-none" w:eastAsia="x-none"/>
              </w:rPr>
              <w:tab/>
              <w:t>T304 expiry (handover failure)</w:t>
            </w:r>
            <w:bookmarkEnd w:id="0"/>
          </w:p>
          <w:p w14:paraId="55713721" w14:textId="7881F161" w:rsidR="00012192" w:rsidRDefault="00012192" w:rsidP="00012192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UE shall:</w:t>
            </w:r>
          </w:p>
          <w:p w14:paraId="735CD6DC" w14:textId="77777777" w:rsidR="00012192" w:rsidRDefault="00012192" w:rsidP="00012192">
            <w:pPr>
              <w:pStyle w:val="B1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1&gt;</w:t>
            </w:r>
            <w:r>
              <w:rPr>
                <w:noProof/>
                <w:lang w:eastAsia="ko-KR"/>
              </w:rPr>
              <w:tab/>
              <w:t>if T304 expires (handover failure):</w:t>
            </w:r>
          </w:p>
          <w:p w14:paraId="4BABA903" w14:textId="77777777" w:rsidR="00012192" w:rsidRPr="00012192" w:rsidRDefault="00012192" w:rsidP="00012192">
            <w:pPr>
              <w:pStyle w:val="NO"/>
              <w:spacing w:after="180"/>
              <w:jc w:val="left"/>
              <w:rPr>
                <w:rFonts w:eastAsiaTheme="minorEastAsia"/>
                <w:lang w:val="x-none" w:eastAsia="x-none"/>
              </w:rPr>
            </w:pPr>
            <w:r w:rsidRPr="00012192">
              <w:rPr>
                <w:rFonts w:eastAsiaTheme="minorEastAsia"/>
                <w:lang w:val="x-none" w:eastAsia="x-none"/>
              </w:rPr>
              <w:t>NOTE 1:</w:t>
            </w:r>
            <w:r w:rsidRPr="00012192">
              <w:rPr>
                <w:rFonts w:eastAsiaTheme="minorEastAsia"/>
                <w:lang w:val="x-none" w:eastAsia="x-none"/>
              </w:rPr>
              <w:tab/>
              <w:t xml:space="preserve">Following T304 expiry any dedicated preamble, if provided within the </w:t>
            </w:r>
            <w:r w:rsidRPr="00012192">
              <w:rPr>
                <w:rFonts w:eastAsiaTheme="minorEastAsia"/>
                <w:i/>
                <w:lang w:val="x-none" w:eastAsia="x-none"/>
              </w:rPr>
              <w:t>rach-ConfigDedicated</w:t>
            </w:r>
            <w:r w:rsidRPr="00012192">
              <w:rPr>
                <w:rFonts w:eastAsiaTheme="minorEastAsia"/>
                <w:lang w:val="x-none" w:eastAsia="x-none"/>
              </w:rPr>
              <w:t>, is not available for use by the UE anymore.</w:t>
            </w:r>
          </w:p>
          <w:p w14:paraId="361CB38B" w14:textId="77777777" w:rsidR="00012192" w:rsidRDefault="00012192" w:rsidP="00012192">
            <w:pPr>
              <w:pStyle w:val="B2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2&gt;</w:t>
            </w:r>
            <w:r>
              <w:rPr>
                <w:noProof/>
                <w:lang w:eastAsia="ko-KR"/>
              </w:rPr>
              <w:tab/>
              <w:t xml:space="preserve">revert back to the configuration used in the source PCell, excluding the configuration configured by the </w:t>
            </w:r>
            <w:r w:rsidRPr="00012192">
              <w:rPr>
                <w:rFonts w:eastAsiaTheme="minorEastAsia"/>
                <w:i/>
                <w:lang w:val="x-none" w:eastAsia="x-none"/>
              </w:rPr>
              <w:t>physicalConfigDedicated</w:t>
            </w:r>
            <w:r>
              <w:rPr>
                <w:noProof/>
                <w:lang w:eastAsia="ko-KR"/>
              </w:rPr>
              <w:t xml:space="preserve">, the </w:t>
            </w:r>
            <w:r w:rsidRPr="00012192">
              <w:rPr>
                <w:rFonts w:eastAsiaTheme="minorEastAsia"/>
                <w:i/>
                <w:lang w:val="x-none" w:eastAsia="x-none"/>
              </w:rPr>
              <w:t>mac-MainConfig</w:t>
            </w:r>
            <w:r>
              <w:rPr>
                <w:noProof/>
                <w:lang w:eastAsia="ko-KR"/>
              </w:rPr>
              <w:t xml:space="preserve"> and the </w:t>
            </w:r>
            <w:r w:rsidRPr="00012192">
              <w:rPr>
                <w:rFonts w:eastAsiaTheme="minorEastAsia"/>
                <w:i/>
                <w:lang w:val="x-none" w:eastAsia="x-none"/>
              </w:rPr>
              <w:t>sps-Config</w:t>
            </w:r>
            <w:r>
              <w:rPr>
                <w:noProof/>
                <w:lang w:eastAsia="ko-KR"/>
              </w:rPr>
              <w:t>;</w:t>
            </w:r>
          </w:p>
          <w:p w14:paraId="0620B57D" w14:textId="77777777" w:rsidR="0030552B" w:rsidRDefault="0030552B" w:rsidP="00012192">
            <w:pPr>
              <w:pStyle w:val="B2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[omit..]</w:t>
            </w:r>
          </w:p>
          <w:p w14:paraId="386B1E39" w14:textId="734B0B40" w:rsidR="0030552B" w:rsidRPr="003F3D23" w:rsidRDefault="0030552B" w:rsidP="003F3D23">
            <w:pPr>
              <w:pStyle w:val="B2"/>
            </w:pPr>
            <w:r w:rsidRPr="00A9351C">
              <w:t>2&gt;</w:t>
            </w:r>
            <w:r w:rsidRPr="00A9351C">
              <w:tab/>
              <w:t>initiate the connection re-establishment procedure as specified in 5.3.7, upon which the RRC connection reconfiguration procedure ends;</w:t>
            </w:r>
            <w:r w:rsidR="003F3D23">
              <w:br/>
            </w:r>
          </w:p>
        </w:tc>
      </w:tr>
    </w:tbl>
    <w:p w14:paraId="39BBD8A4" w14:textId="498135F3" w:rsidR="00284A2C" w:rsidRDefault="00750548" w:rsidP="0094272D">
      <w:pPr>
        <w:spacing w:after="180" w:line="240" w:lineRule="auto"/>
        <w:jc w:val="left"/>
      </w:pPr>
      <w:r>
        <w:rPr>
          <w:noProof/>
          <w:lang w:eastAsia="ko-KR"/>
        </w:rPr>
        <w:br/>
      </w:r>
      <w:r w:rsidR="003F3D23">
        <w:rPr>
          <w:rFonts w:hint="eastAsia"/>
          <w:noProof/>
          <w:lang w:eastAsia="ko-KR"/>
        </w:rPr>
        <w:t xml:space="preserve">Although it says </w:t>
      </w:r>
      <w:r w:rsidR="003F3D23">
        <w:rPr>
          <w:noProof/>
          <w:lang w:eastAsia="ko-KR"/>
        </w:rPr>
        <w:t xml:space="preserve">‘revert back to the configuration used in the source PCell’ the UE may not release </w:t>
      </w:r>
      <w:r w:rsidR="00B36C2C">
        <w:rPr>
          <w:noProof/>
          <w:lang w:eastAsia="ko-KR"/>
        </w:rPr>
        <w:t xml:space="preserve">the </w:t>
      </w:r>
      <w:r w:rsidR="003F3D23">
        <w:rPr>
          <w:noProof/>
          <w:lang w:eastAsia="ko-KR"/>
        </w:rPr>
        <w:t>preallocated uplink grant because</w:t>
      </w:r>
      <w:r w:rsidR="00C7614B">
        <w:rPr>
          <w:noProof/>
          <w:lang w:eastAsia="ko-KR"/>
        </w:rPr>
        <w:t>, strictly speaking,</w:t>
      </w:r>
      <w:r w:rsidR="003F3D23">
        <w:rPr>
          <w:noProof/>
          <w:lang w:eastAsia="ko-KR"/>
        </w:rPr>
        <w:t xml:space="preserve"> the preallocated uplink grant is </w:t>
      </w:r>
      <w:r w:rsidR="00C7614B">
        <w:rPr>
          <w:noProof/>
          <w:lang w:eastAsia="ko-KR"/>
        </w:rPr>
        <w:t xml:space="preserve">a configuration that the UE </w:t>
      </w:r>
      <w:r w:rsidR="00C7614B" w:rsidRPr="00C7614B">
        <w:rPr>
          <w:i/>
          <w:noProof/>
          <w:lang w:eastAsia="ko-KR"/>
        </w:rPr>
        <w:t>used in the source PCell</w:t>
      </w:r>
      <w:r w:rsidR="00C7614B">
        <w:rPr>
          <w:noProof/>
          <w:lang w:eastAsia="ko-KR"/>
        </w:rPr>
        <w:t xml:space="preserve"> even though it is a resource </w:t>
      </w:r>
      <w:r w:rsidR="00C7614B">
        <w:rPr>
          <w:i/>
          <w:noProof/>
          <w:lang w:eastAsia="ko-KR"/>
        </w:rPr>
        <w:t>of</w:t>
      </w:r>
      <w:r w:rsidR="00C7614B">
        <w:rPr>
          <w:noProof/>
          <w:lang w:eastAsia="ko-KR"/>
        </w:rPr>
        <w:t xml:space="preserve"> the target PCell. </w:t>
      </w:r>
      <w:r w:rsidR="00284A2C">
        <w:rPr>
          <w:noProof/>
          <w:lang w:eastAsia="ko-KR"/>
        </w:rPr>
        <w:t xml:space="preserve">In addition, the preallocated grant may not be released during RRC connection re-establishment procedure because </w:t>
      </w:r>
      <w:r w:rsidR="0057088D">
        <w:rPr>
          <w:noProof/>
          <w:lang w:eastAsia="ko-KR"/>
        </w:rPr>
        <w:t>neither</w:t>
      </w:r>
      <w:r w:rsidR="00284A2C">
        <w:rPr>
          <w:noProof/>
          <w:lang w:eastAsia="ko-KR"/>
        </w:rPr>
        <w:t xml:space="preserve"> </w:t>
      </w:r>
      <w:r w:rsidR="0057088D">
        <w:rPr>
          <w:noProof/>
          <w:lang w:eastAsia="ko-KR"/>
        </w:rPr>
        <w:t>MAC reset nor</w:t>
      </w:r>
      <w:r w:rsidR="00284A2C">
        <w:rPr>
          <w:noProof/>
          <w:lang w:eastAsia="ko-KR"/>
        </w:rPr>
        <w:t xml:space="preserve"> </w:t>
      </w:r>
      <w:r w:rsidR="00284A2C" w:rsidRPr="00A9351C">
        <w:t>default MAC main configuration</w:t>
      </w:r>
      <w:r w:rsidR="00284A2C">
        <w:t xml:space="preserve"> </w:t>
      </w:r>
      <w:r w:rsidR="0057088D">
        <w:t xml:space="preserve">takes </w:t>
      </w:r>
      <w:r w:rsidR="00284A2C">
        <w:t>care about preallocated uplink grant.</w:t>
      </w:r>
      <w:r w:rsidR="0057088D">
        <w:t xml:space="preserve"> In detail, MAC reset doesn’t release the preallocated uplink grant, and MAC main configuration doesn’t tell any default setting about the preallocated uplink grant.</w:t>
      </w:r>
    </w:p>
    <w:p w14:paraId="1B19C98D" w14:textId="6089A9DD" w:rsidR="00B36C2C" w:rsidRDefault="00B36C2C" w:rsidP="0094272D">
      <w:pPr>
        <w:spacing w:after="180" w:line="240" w:lineRule="auto"/>
        <w:jc w:val="left"/>
      </w:pPr>
      <w:r>
        <w:t xml:space="preserve">If SCG change failure, the same issue is foreseen. Even if T307 expires, the UE may not release the preallocated uplink grant. Upon SCG change failure, the UE performs the followings: 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B36C2C" w14:paraId="002FF3BC" w14:textId="77777777" w:rsidTr="00D5450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0BC47EA" w14:textId="0872C6C7" w:rsidR="00B36C2C" w:rsidRPr="00A9351C" w:rsidRDefault="00B36C2C" w:rsidP="00B36C2C">
            <w:pPr>
              <w:pStyle w:val="4"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Chars="0" w:left="1418" w:firstLineChars="0" w:hanging="1418"/>
              <w:jc w:val="left"/>
              <w:textAlignment w:val="baseline"/>
              <w:outlineLvl w:val="3"/>
            </w:pPr>
            <w:bookmarkStart w:id="1" w:name="_Toc478015244"/>
            <w:r w:rsidRPr="00B36C2C">
              <w:rPr>
                <w:rFonts w:ascii="Arial" w:eastAsiaTheme="minorEastAsia" w:hAnsi="Arial"/>
                <w:b w:val="0"/>
                <w:bCs w:val="0"/>
                <w:sz w:val="24"/>
                <w:lang w:val="x-none" w:eastAsia="x-none"/>
              </w:rPr>
              <w:lastRenderedPageBreak/>
              <w:t>5.3.5.7a</w:t>
            </w:r>
            <w:r w:rsidRPr="00B36C2C">
              <w:rPr>
                <w:rFonts w:ascii="Arial" w:eastAsiaTheme="minorEastAsia" w:hAnsi="Arial"/>
                <w:b w:val="0"/>
                <w:bCs w:val="0"/>
                <w:sz w:val="24"/>
                <w:lang w:val="x-none" w:eastAsia="x-none"/>
              </w:rPr>
              <w:tab/>
              <w:t>T307 expiry (SCG change failure)</w:t>
            </w:r>
            <w:bookmarkEnd w:id="1"/>
          </w:p>
          <w:p w14:paraId="221F9D59" w14:textId="77777777" w:rsidR="00B36C2C" w:rsidRPr="00A9351C" w:rsidRDefault="00B36C2C" w:rsidP="00B36C2C">
            <w:p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A9351C">
              <w:t>The UE shall:</w:t>
            </w:r>
          </w:p>
          <w:p w14:paraId="31E421CB" w14:textId="77777777" w:rsidR="00B36C2C" w:rsidRPr="00A9351C" w:rsidRDefault="00B36C2C" w:rsidP="00B36C2C">
            <w:pPr>
              <w:pStyle w:val="B1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A9351C">
              <w:t>1&gt;</w:t>
            </w:r>
            <w:r w:rsidRPr="00A9351C">
              <w:tab/>
              <w:t>if T307 expires:</w:t>
            </w:r>
          </w:p>
          <w:p w14:paraId="17F14702" w14:textId="77777777" w:rsidR="00B36C2C" w:rsidRPr="00A9351C" w:rsidRDefault="00B36C2C" w:rsidP="00B36C2C">
            <w:pPr>
              <w:pStyle w:val="NO"/>
              <w:spacing w:after="180"/>
              <w:jc w:val="left"/>
            </w:pPr>
            <w:r w:rsidRPr="00A9351C">
              <w:t>NOTE 1:</w:t>
            </w:r>
            <w:r w:rsidRPr="00A9351C">
              <w:tab/>
              <w:t xml:space="preserve">Following T307 expiry any dedicated preamble, if provided within the </w:t>
            </w:r>
            <w:r w:rsidRPr="00A9351C">
              <w:rPr>
                <w:i/>
              </w:rPr>
              <w:t>rach-ConfigDedicatedSCG</w:t>
            </w:r>
            <w:r w:rsidRPr="00A9351C">
              <w:t>, is not available for use by the UE anymore.</w:t>
            </w:r>
          </w:p>
          <w:p w14:paraId="76B10594" w14:textId="631F6148" w:rsidR="00B36C2C" w:rsidRPr="003F3D23" w:rsidRDefault="00B36C2C" w:rsidP="00B36C2C">
            <w:pPr>
              <w:pStyle w:val="B2"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A9351C">
              <w:t>2&gt;</w:t>
            </w:r>
            <w:r w:rsidRPr="00A9351C">
              <w:tab/>
              <w:t>initiate the SCG failure information procedure as specified in 5.6.13 to report SCG change failure;</w:t>
            </w:r>
            <w:r>
              <w:br/>
            </w:r>
          </w:p>
        </w:tc>
      </w:tr>
    </w:tbl>
    <w:p w14:paraId="2C160848" w14:textId="7CFF7514" w:rsidR="00B36C2C" w:rsidRDefault="00750548" w:rsidP="0094272D">
      <w:pPr>
        <w:spacing w:after="180" w:line="240" w:lineRule="auto"/>
        <w:jc w:val="left"/>
        <w:rPr>
          <w:noProof/>
          <w:lang w:eastAsia="ko-KR"/>
        </w:rPr>
      </w:pPr>
      <w:r>
        <w:rPr>
          <w:noProof/>
          <w:lang w:eastAsia="ko-KR"/>
        </w:rPr>
        <w:br/>
      </w:r>
      <w:r w:rsidR="00B36C2C">
        <w:rPr>
          <w:rFonts w:hint="eastAsia"/>
          <w:noProof/>
          <w:lang w:eastAsia="ko-KR"/>
        </w:rPr>
        <w:t>For T307 expiry, there is nothing saying t</w:t>
      </w:r>
      <w:r w:rsidR="00B36C2C">
        <w:rPr>
          <w:noProof/>
          <w:lang w:eastAsia="ko-KR"/>
        </w:rPr>
        <w:t xml:space="preserve">o revert to back to something. In addition, SCG failure information procedure certainly doesn’t release the preallocated uplink grant. </w:t>
      </w:r>
    </w:p>
    <w:p w14:paraId="6F3B7D3E" w14:textId="6581605A" w:rsidR="00750548" w:rsidRPr="00750548" w:rsidRDefault="00750548" w:rsidP="0094272D">
      <w:pPr>
        <w:spacing w:after="180" w:line="240" w:lineRule="auto"/>
        <w:jc w:val="left"/>
        <w:rPr>
          <w:b/>
          <w:noProof/>
          <w:lang w:eastAsia="ko-KR"/>
        </w:rPr>
      </w:pPr>
      <w:r>
        <w:rPr>
          <w:rFonts w:hint="eastAsia"/>
          <w:b/>
          <w:noProof/>
          <w:lang w:eastAsia="ko-KR"/>
        </w:rPr>
        <w:t>Observation. T</w:t>
      </w:r>
      <w:r>
        <w:rPr>
          <w:b/>
          <w:noProof/>
          <w:lang w:eastAsia="ko-KR"/>
        </w:rPr>
        <w:t>h</w:t>
      </w:r>
      <w:r>
        <w:rPr>
          <w:rFonts w:hint="eastAsia"/>
          <w:b/>
          <w:noProof/>
          <w:lang w:eastAsia="ko-KR"/>
        </w:rPr>
        <w:t xml:space="preserve">e </w:t>
      </w:r>
      <w:r>
        <w:rPr>
          <w:b/>
          <w:noProof/>
          <w:lang w:eastAsia="ko-KR"/>
        </w:rPr>
        <w:t>UE doesn’t release the preallocated uplink grant even if T304/T307 expires.</w:t>
      </w:r>
    </w:p>
    <w:p w14:paraId="2F5A46F2" w14:textId="77777777" w:rsidR="00750548" w:rsidRDefault="00750548" w:rsidP="0094272D">
      <w:pPr>
        <w:spacing w:after="180" w:line="240" w:lineRule="auto"/>
        <w:jc w:val="left"/>
        <w:rPr>
          <w:noProof/>
          <w:lang w:eastAsia="ko-KR"/>
        </w:rPr>
      </w:pPr>
    </w:p>
    <w:p w14:paraId="1ED57503" w14:textId="5FE56CF8" w:rsidR="00C7614B" w:rsidRPr="0057088D" w:rsidRDefault="00284A2C" w:rsidP="0094272D">
      <w:pPr>
        <w:spacing w:after="180" w:line="240" w:lineRule="auto"/>
        <w:jc w:val="left"/>
      </w:pPr>
      <w:r>
        <w:rPr>
          <w:noProof/>
          <w:lang w:eastAsia="ko-KR"/>
        </w:rPr>
        <w:t xml:space="preserve">There was a similar uncertainty regarding </w:t>
      </w:r>
      <w:r>
        <w:rPr>
          <w:i/>
          <w:noProof/>
          <w:lang w:eastAsia="ko-KR"/>
        </w:rPr>
        <w:t>rach-ConfigDedicated</w:t>
      </w:r>
      <w:r>
        <w:rPr>
          <w:noProof/>
          <w:lang w:eastAsia="ko-KR"/>
        </w:rPr>
        <w:t xml:space="preserve">. During handover, the UE receives </w:t>
      </w:r>
      <w:r>
        <w:rPr>
          <w:i/>
          <w:noProof/>
          <w:lang w:eastAsia="ko-KR"/>
        </w:rPr>
        <w:t>rach-ConfigDedicated</w:t>
      </w:r>
      <w:r>
        <w:t xml:space="preserve"> in MCI. Upon successful handover, dedicated preamble is discarded due to MAC reset. However, it was unclear when to discard the dedicated preamble if handover fails. Therefore, in </w:t>
      </w:r>
      <w:r w:rsidRPr="00284A2C">
        <w:t>RAN2#62</w:t>
      </w:r>
      <w:r>
        <w:t>, it was agreed to use T304 as the</w:t>
      </w:r>
      <w:r w:rsidRPr="0057088D">
        <w:t xml:space="preserve"> end time of a dedicated preamble. Accordingly, the NOTE 1 is added in S5.3.5.6 of TS36.331.</w:t>
      </w:r>
    </w:p>
    <w:p w14:paraId="17D31822" w14:textId="0D29E3EE" w:rsidR="009A266E" w:rsidRDefault="0057088D" w:rsidP="00165947">
      <w:pPr>
        <w:spacing w:after="180" w:line="240" w:lineRule="auto"/>
        <w:jc w:val="lef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During the </w:t>
      </w:r>
      <w:r>
        <w:rPr>
          <w:rFonts w:eastAsiaTheme="minorEastAsia"/>
          <w:lang w:eastAsia="ko-KR"/>
        </w:rPr>
        <w:t>online discussion in RAN</w:t>
      </w:r>
      <w:r w:rsidR="00B36C2C">
        <w:rPr>
          <w:rFonts w:eastAsiaTheme="minorEastAsia"/>
          <w:lang w:eastAsia="ko-KR"/>
        </w:rPr>
        <w:t>2#97, it was a common understanding</w:t>
      </w:r>
      <w:r>
        <w:rPr>
          <w:rFonts w:eastAsiaTheme="minorEastAsia"/>
          <w:lang w:eastAsia="ko-KR"/>
        </w:rPr>
        <w:t xml:space="preserve"> that the preallocated uplink grant should be released upon T304</w:t>
      </w:r>
      <w:r w:rsidR="00B36C2C">
        <w:rPr>
          <w:rFonts w:eastAsiaTheme="minorEastAsia"/>
          <w:lang w:eastAsia="ko-KR"/>
        </w:rPr>
        <w:t>/T307</w:t>
      </w:r>
      <w:r>
        <w:rPr>
          <w:rFonts w:eastAsiaTheme="minorEastAsia"/>
          <w:lang w:eastAsia="ko-KR"/>
        </w:rPr>
        <w:t xml:space="preserve"> expiry. At that time</w:t>
      </w:r>
      <w:r w:rsidR="00B36C2C">
        <w:rPr>
          <w:rFonts w:eastAsiaTheme="minorEastAsia"/>
          <w:lang w:eastAsia="ko-KR"/>
        </w:rPr>
        <w:t xml:space="preserve">, </w:t>
      </w:r>
      <w:r>
        <w:rPr>
          <w:rFonts w:eastAsiaTheme="minorEastAsia"/>
          <w:lang w:eastAsia="ko-KR"/>
        </w:rPr>
        <w:t xml:space="preserve">it was </w:t>
      </w:r>
      <w:r w:rsidR="00B36C2C">
        <w:rPr>
          <w:rFonts w:eastAsiaTheme="minorEastAsia"/>
          <w:lang w:eastAsia="ko-KR"/>
        </w:rPr>
        <w:t>believed</w:t>
      </w:r>
      <w:r>
        <w:rPr>
          <w:rFonts w:eastAsiaTheme="minorEastAsia"/>
          <w:lang w:eastAsia="ko-KR"/>
        </w:rPr>
        <w:t xml:space="preserve"> that the preallocated uplink grant is released upon T304 expiry, however, we realize</w:t>
      </w:r>
      <w:r w:rsidR="00E13FC4">
        <w:rPr>
          <w:rFonts w:eastAsiaTheme="minorEastAsia"/>
          <w:lang w:eastAsia="ko-KR"/>
        </w:rPr>
        <w:t>d that the preallocated uplink grant may not be released even upon T304 expiry.</w:t>
      </w:r>
    </w:p>
    <w:p w14:paraId="789983BA" w14:textId="35607B1F" w:rsidR="00E13FC4" w:rsidRDefault="00E13FC4" w:rsidP="00165947">
      <w:pPr>
        <w:spacing w:after="180" w:line="240" w:lineRule="auto"/>
        <w:jc w:val="lef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Therefore, we suggest to specify </w:t>
      </w:r>
      <w:r w:rsidR="00B36C2C">
        <w:rPr>
          <w:rFonts w:eastAsiaTheme="minorEastAsia"/>
          <w:lang w:eastAsia="ko-KR"/>
        </w:rPr>
        <w:t>in a NOTE in S5.3.5.6</w:t>
      </w:r>
      <w:r w:rsidR="00750548">
        <w:rPr>
          <w:rFonts w:eastAsiaTheme="minorEastAsia"/>
          <w:lang w:eastAsia="ko-KR"/>
        </w:rPr>
        <w:t xml:space="preserve"> and in S5.3.5.7a</w:t>
      </w:r>
      <w:r w:rsidR="00B36C2C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that the preallocated uplink grant is released upon </w:t>
      </w:r>
      <w:r w:rsidR="00B36C2C">
        <w:rPr>
          <w:rFonts w:eastAsiaTheme="minorEastAsia"/>
          <w:lang w:eastAsia="ko-KR"/>
        </w:rPr>
        <w:t xml:space="preserve">handover failure and </w:t>
      </w:r>
      <w:r w:rsidR="00B36C2C" w:rsidRPr="00A9351C">
        <w:t>SCG change failure</w:t>
      </w:r>
      <w:r>
        <w:rPr>
          <w:rFonts w:eastAsiaTheme="minorEastAsia"/>
          <w:lang w:eastAsia="ko-KR"/>
        </w:rPr>
        <w:t>.</w:t>
      </w:r>
    </w:p>
    <w:p w14:paraId="20D7E400" w14:textId="2E53640D" w:rsidR="00E13FC4" w:rsidRPr="00E13FC4" w:rsidRDefault="00951230" w:rsidP="00165947">
      <w:pPr>
        <w:spacing w:after="180" w:line="240" w:lineRule="auto"/>
        <w:jc w:val="left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>Proposal</w:t>
      </w:r>
      <w:r w:rsidR="00E13FC4">
        <w:rPr>
          <w:rFonts w:eastAsiaTheme="minorEastAsia"/>
          <w:b/>
          <w:lang w:eastAsia="ko-KR"/>
        </w:rPr>
        <w:t xml:space="preserve">. To specify </w:t>
      </w:r>
      <w:r w:rsidR="00B36C2C">
        <w:rPr>
          <w:rFonts w:eastAsiaTheme="minorEastAsia"/>
          <w:b/>
          <w:lang w:eastAsia="ko-KR"/>
        </w:rPr>
        <w:t>that the preallocated uplink grant is re</w:t>
      </w:r>
      <w:r w:rsidR="000A51DF">
        <w:rPr>
          <w:rFonts w:eastAsiaTheme="minorEastAsia"/>
          <w:b/>
          <w:lang w:eastAsia="ko-KR"/>
        </w:rPr>
        <w:t>leased in case of handover failure and SCG change failure.</w:t>
      </w:r>
    </w:p>
    <w:p w14:paraId="18074005" w14:textId="59854690" w:rsidR="00502C27" w:rsidRPr="00F56B42" w:rsidRDefault="006D3046" w:rsidP="00502C27">
      <w:pPr>
        <w:spacing w:after="180" w:line="240" w:lineRule="auto"/>
        <w:jc w:val="lef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>he related CR is provided in R2-17</w:t>
      </w:r>
      <w:r w:rsidR="0051474C">
        <w:rPr>
          <w:rFonts w:eastAsiaTheme="minorEastAsia"/>
          <w:lang w:eastAsia="ko-KR"/>
        </w:rPr>
        <w:t>03500</w:t>
      </w:r>
      <w:bookmarkStart w:id="2" w:name="_GoBack"/>
      <w:bookmarkEnd w:id="2"/>
      <w:r>
        <w:rPr>
          <w:rFonts w:eastAsiaTheme="minorEastAsia"/>
          <w:lang w:eastAsia="ko-KR"/>
        </w:rPr>
        <w:t>.</w:t>
      </w:r>
    </w:p>
    <w:p w14:paraId="28CB7C1A" w14:textId="77777777" w:rsidR="00707ACB" w:rsidRPr="003F1396" w:rsidRDefault="00707ACB" w:rsidP="00707ACB">
      <w:pPr>
        <w:pStyle w:val="1"/>
        <w:rPr>
          <w:rFonts w:cs="Arial"/>
          <w:lang w:val="en-US"/>
        </w:rPr>
      </w:pPr>
      <w:r w:rsidRPr="003F1396">
        <w:rPr>
          <w:rFonts w:cs="Arial"/>
          <w:lang w:val="en-US" w:eastAsia="ko-KR"/>
        </w:rPr>
        <w:t>3</w:t>
      </w:r>
      <w:r w:rsidRPr="003F1396">
        <w:rPr>
          <w:rFonts w:cs="Arial"/>
          <w:lang w:val="en-US"/>
        </w:rPr>
        <w:t>.</w:t>
      </w:r>
      <w:r w:rsidRPr="003F1396">
        <w:rPr>
          <w:rFonts w:cs="Arial"/>
          <w:lang w:val="en-US"/>
        </w:rPr>
        <w:tab/>
        <w:t>Conclusion</w:t>
      </w:r>
    </w:p>
    <w:p w14:paraId="5561D274" w14:textId="6955E1F0" w:rsidR="006E2B1D" w:rsidRDefault="00951230" w:rsidP="006E2B1D">
      <w:pPr>
        <w:spacing w:after="180" w:line="240" w:lineRule="auto"/>
        <w:rPr>
          <w:rFonts w:eastAsiaTheme="minorEastAsia"/>
        </w:rPr>
      </w:pPr>
      <w:r>
        <w:rPr>
          <w:rFonts w:eastAsiaTheme="minorEastAsia"/>
        </w:rPr>
        <w:t>In this contribution, we discuss the release of the preallocated uplink grant in case of handover failure and SCG change, and propose that:</w:t>
      </w:r>
    </w:p>
    <w:p w14:paraId="503210E7" w14:textId="77777777" w:rsidR="00951230" w:rsidRPr="00951230" w:rsidRDefault="00951230" w:rsidP="00951230">
      <w:pPr>
        <w:spacing w:after="180" w:line="240" w:lineRule="auto"/>
        <w:jc w:val="left"/>
        <w:rPr>
          <w:noProof/>
          <w:lang w:eastAsia="ko-KR"/>
        </w:rPr>
      </w:pPr>
      <w:r>
        <w:rPr>
          <w:rFonts w:hint="eastAsia"/>
          <w:b/>
          <w:noProof/>
          <w:lang w:eastAsia="ko-KR"/>
        </w:rPr>
        <w:t xml:space="preserve">Observation. </w:t>
      </w:r>
      <w:r w:rsidRPr="00951230">
        <w:rPr>
          <w:rFonts w:hint="eastAsia"/>
          <w:noProof/>
          <w:lang w:eastAsia="ko-KR"/>
        </w:rPr>
        <w:t>T</w:t>
      </w:r>
      <w:r w:rsidRPr="00951230">
        <w:rPr>
          <w:noProof/>
          <w:lang w:eastAsia="ko-KR"/>
        </w:rPr>
        <w:t>h</w:t>
      </w:r>
      <w:r w:rsidRPr="00951230">
        <w:rPr>
          <w:rFonts w:hint="eastAsia"/>
          <w:noProof/>
          <w:lang w:eastAsia="ko-KR"/>
        </w:rPr>
        <w:t xml:space="preserve">e </w:t>
      </w:r>
      <w:r w:rsidRPr="00951230">
        <w:rPr>
          <w:noProof/>
          <w:lang w:eastAsia="ko-KR"/>
        </w:rPr>
        <w:t>UE doesn’t release the preallocated uplink grant even if T304/T307 expires.</w:t>
      </w:r>
    </w:p>
    <w:p w14:paraId="75FAE408" w14:textId="77777777" w:rsidR="00951230" w:rsidRPr="00E13FC4" w:rsidRDefault="00951230" w:rsidP="00951230">
      <w:pPr>
        <w:spacing w:after="180" w:line="240" w:lineRule="auto"/>
        <w:jc w:val="left"/>
        <w:rPr>
          <w:rFonts w:eastAsiaTheme="minorEastAsia"/>
          <w:b/>
          <w:lang w:eastAsia="ko-KR"/>
        </w:rPr>
      </w:pPr>
      <w:r>
        <w:rPr>
          <w:rFonts w:eastAsiaTheme="minorEastAsia"/>
          <w:b/>
          <w:lang w:eastAsia="ko-KR"/>
        </w:rPr>
        <w:t xml:space="preserve">Proposal. </w:t>
      </w:r>
      <w:r w:rsidRPr="00951230">
        <w:rPr>
          <w:rFonts w:eastAsiaTheme="minorEastAsia"/>
          <w:lang w:eastAsia="ko-KR"/>
        </w:rPr>
        <w:t>To specify that the preallocated uplink grant is released in case of handover failure and SCG change failure.</w:t>
      </w:r>
    </w:p>
    <w:p w14:paraId="1FF259C4" w14:textId="632DFAC9" w:rsidR="00085958" w:rsidRPr="00951230" w:rsidRDefault="00085958" w:rsidP="00951230">
      <w:pPr>
        <w:spacing w:after="180" w:line="240" w:lineRule="auto"/>
        <w:rPr>
          <w:rFonts w:eastAsiaTheme="minorEastAsia"/>
        </w:rPr>
      </w:pPr>
    </w:p>
    <w:sectPr w:rsidR="00085958" w:rsidRPr="00951230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DE15C" w14:textId="77777777" w:rsidR="007B65A2" w:rsidRDefault="007B65A2">
      <w:pPr>
        <w:spacing w:after="0"/>
      </w:pPr>
      <w:r>
        <w:separator/>
      </w:r>
    </w:p>
  </w:endnote>
  <w:endnote w:type="continuationSeparator" w:id="0">
    <w:p w14:paraId="68E7C781" w14:textId="77777777" w:rsidR="007B65A2" w:rsidRDefault="007B65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5B7B31" w:rsidRDefault="005B7B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5B7B31" w:rsidRDefault="005B7B3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5B7B31" w:rsidRDefault="005B7B3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1474C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5B7B31" w:rsidRDefault="005B7B3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2DF91" w14:textId="77777777" w:rsidR="007B65A2" w:rsidRDefault="007B65A2">
      <w:pPr>
        <w:spacing w:after="0"/>
      </w:pPr>
      <w:r>
        <w:separator/>
      </w:r>
    </w:p>
  </w:footnote>
  <w:footnote w:type="continuationSeparator" w:id="0">
    <w:p w14:paraId="0F1C3EB7" w14:textId="77777777" w:rsidR="007B65A2" w:rsidRDefault="007B65A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73D20"/>
    <w:multiLevelType w:val="hybridMultilevel"/>
    <w:tmpl w:val="20585C74"/>
    <w:lvl w:ilvl="0" w:tplc="0CD6ACF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D1D4590"/>
    <w:multiLevelType w:val="hybridMultilevel"/>
    <w:tmpl w:val="D1A2CA32"/>
    <w:lvl w:ilvl="0" w:tplc="FE64019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21D063A"/>
    <w:multiLevelType w:val="hybridMultilevel"/>
    <w:tmpl w:val="1A9C36A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00A6F"/>
    <w:multiLevelType w:val="hybridMultilevel"/>
    <w:tmpl w:val="49547868"/>
    <w:lvl w:ilvl="0" w:tplc="F5C88F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32D2C4D"/>
    <w:multiLevelType w:val="hybridMultilevel"/>
    <w:tmpl w:val="5464DE26"/>
    <w:lvl w:ilvl="0" w:tplc="8AB23DD8">
      <w:start w:val="5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47202C58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2" w:tplc="47202C58">
      <w:numFmt w:val="bullet"/>
      <w:lvlText w:val="-"/>
      <w:lvlJc w:val="left"/>
      <w:pPr>
        <w:ind w:left="1600" w:hanging="400"/>
      </w:pPr>
      <w:rPr>
        <w:rFonts w:ascii="Times New Roman" w:eastAsiaTheme="minorEastAsia" w:hAnsi="Times New Roman" w:cs="Times New Roman" w:hint="default"/>
      </w:rPr>
    </w:lvl>
    <w:lvl w:ilvl="3" w:tplc="47202C58">
      <w:numFmt w:val="bullet"/>
      <w:lvlText w:val="-"/>
      <w:lvlJc w:val="left"/>
      <w:pPr>
        <w:ind w:left="2000" w:hanging="400"/>
      </w:pPr>
      <w:rPr>
        <w:rFonts w:ascii="Times New Roman" w:eastAsiaTheme="minorEastAsia" w:hAnsi="Times New Roman" w:cs="Times New Roman"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587723C"/>
    <w:multiLevelType w:val="hybridMultilevel"/>
    <w:tmpl w:val="775A511E"/>
    <w:lvl w:ilvl="0" w:tplc="1B0E3CD8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5FE2DDF"/>
    <w:multiLevelType w:val="hybridMultilevel"/>
    <w:tmpl w:val="71764A2A"/>
    <w:lvl w:ilvl="0" w:tplc="89167FE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86C7285"/>
    <w:multiLevelType w:val="hybridMultilevel"/>
    <w:tmpl w:val="3FF06B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54379BD"/>
    <w:multiLevelType w:val="hybridMultilevel"/>
    <w:tmpl w:val="D7F438DE"/>
    <w:lvl w:ilvl="0" w:tplc="7FDED4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66158E5"/>
    <w:multiLevelType w:val="hybridMultilevel"/>
    <w:tmpl w:val="5E1A75D6"/>
    <w:lvl w:ilvl="0" w:tplc="1762496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EE060B5"/>
    <w:multiLevelType w:val="hybridMultilevel"/>
    <w:tmpl w:val="276E14BA"/>
    <w:lvl w:ilvl="0" w:tplc="591853E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036DD9"/>
    <w:multiLevelType w:val="hybridMultilevel"/>
    <w:tmpl w:val="24D6A6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DD6ADE"/>
    <w:multiLevelType w:val="hybridMultilevel"/>
    <w:tmpl w:val="6EB82272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61BA1"/>
    <w:multiLevelType w:val="hybridMultilevel"/>
    <w:tmpl w:val="91FCDAF2"/>
    <w:lvl w:ilvl="0" w:tplc="41E2DDF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7F05C08"/>
    <w:multiLevelType w:val="hybridMultilevel"/>
    <w:tmpl w:val="E23A58C8"/>
    <w:lvl w:ilvl="0" w:tplc="CC98776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BC87EFC"/>
    <w:multiLevelType w:val="hybridMultilevel"/>
    <w:tmpl w:val="87343676"/>
    <w:lvl w:ilvl="0" w:tplc="49CA4626">
      <w:start w:val="1"/>
      <w:numFmt w:val="decimal"/>
      <w:lvlText w:val="%1)"/>
      <w:lvlJc w:val="left"/>
      <w:pPr>
        <w:ind w:left="760" w:hanging="360"/>
      </w:pPr>
      <w:rPr>
        <w:i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6"/>
  </w:num>
  <w:num w:numId="4">
    <w:abstractNumId w:val="22"/>
  </w:num>
  <w:num w:numId="5">
    <w:abstractNumId w:val="23"/>
  </w:num>
  <w:num w:numId="6">
    <w:abstractNumId w:val="5"/>
  </w:num>
  <w:num w:numId="7">
    <w:abstractNumId w:val="26"/>
  </w:num>
  <w:num w:numId="8">
    <w:abstractNumId w:val="3"/>
  </w:num>
  <w:num w:numId="9">
    <w:abstractNumId w:val="15"/>
  </w:num>
  <w:num w:numId="10">
    <w:abstractNumId w:val="6"/>
  </w:num>
  <w:num w:numId="11">
    <w:abstractNumId w:val="24"/>
  </w:num>
  <w:num w:numId="12">
    <w:abstractNumId w:val="12"/>
  </w:num>
  <w:num w:numId="13">
    <w:abstractNumId w:val="7"/>
  </w:num>
  <w:num w:numId="14">
    <w:abstractNumId w:val="11"/>
  </w:num>
  <w:num w:numId="15">
    <w:abstractNumId w:val="4"/>
  </w:num>
  <w:num w:numId="16">
    <w:abstractNumId w:val="21"/>
  </w:num>
  <w:num w:numId="17">
    <w:abstractNumId w:val="1"/>
  </w:num>
  <w:num w:numId="18">
    <w:abstractNumId w:val="10"/>
  </w:num>
  <w:num w:numId="19">
    <w:abstractNumId w:val="14"/>
  </w:num>
  <w:num w:numId="20">
    <w:abstractNumId w:val="20"/>
  </w:num>
  <w:num w:numId="21">
    <w:abstractNumId w:val="9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"/>
  </w:num>
  <w:num w:numId="25">
    <w:abstractNumId w:val="0"/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192"/>
    <w:rsid w:val="00012911"/>
    <w:rsid w:val="0001397C"/>
    <w:rsid w:val="00013F40"/>
    <w:rsid w:val="00014183"/>
    <w:rsid w:val="00020A75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0B9F"/>
    <w:rsid w:val="00031086"/>
    <w:rsid w:val="000316B9"/>
    <w:rsid w:val="00031ADF"/>
    <w:rsid w:val="00032C17"/>
    <w:rsid w:val="00032F37"/>
    <w:rsid w:val="00037218"/>
    <w:rsid w:val="000412FF"/>
    <w:rsid w:val="0004236A"/>
    <w:rsid w:val="00043C1E"/>
    <w:rsid w:val="00044A28"/>
    <w:rsid w:val="00044BA7"/>
    <w:rsid w:val="00045BF6"/>
    <w:rsid w:val="00045D88"/>
    <w:rsid w:val="00045FFD"/>
    <w:rsid w:val="00051638"/>
    <w:rsid w:val="00051B92"/>
    <w:rsid w:val="00051D3F"/>
    <w:rsid w:val="00052BF7"/>
    <w:rsid w:val="00053E4B"/>
    <w:rsid w:val="00054092"/>
    <w:rsid w:val="0005415A"/>
    <w:rsid w:val="000562B9"/>
    <w:rsid w:val="00057949"/>
    <w:rsid w:val="0005795E"/>
    <w:rsid w:val="00060A94"/>
    <w:rsid w:val="00060B91"/>
    <w:rsid w:val="00060D52"/>
    <w:rsid w:val="00061A9E"/>
    <w:rsid w:val="000630F2"/>
    <w:rsid w:val="00063FE5"/>
    <w:rsid w:val="0006430A"/>
    <w:rsid w:val="00064AE5"/>
    <w:rsid w:val="00065DA3"/>
    <w:rsid w:val="000669F9"/>
    <w:rsid w:val="000725CE"/>
    <w:rsid w:val="000728C8"/>
    <w:rsid w:val="00072963"/>
    <w:rsid w:val="00074AE3"/>
    <w:rsid w:val="00076A20"/>
    <w:rsid w:val="00077913"/>
    <w:rsid w:val="00080C6F"/>
    <w:rsid w:val="00081E57"/>
    <w:rsid w:val="0008271B"/>
    <w:rsid w:val="00084608"/>
    <w:rsid w:val="00084C86"/>
    <w:rsid w:val="0008583D"/>
    <w:rsid w:val="0008595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49B1"/>
    <w:rsid w:val="000A5084"/>
    <w:rsid w:val="000A5139"/>
    <w:rsid w:val="000A51DF"/>
    <w:rsid w:val="000A6EB4"/>
    <w:rsid w:val="000A6F71"/>
    <w:rsid w:val="000A755E"/>
    <w:rsid w:val="000A76C1"/>
    <w:rsid w:val="000B1365"/>
    <w:rsid w:val="000B178B"/>
    <w:rsid w:val="000B1973"/>
    <w:rsid w:val="000B2108"/>
    <w:rsid w:val="000B39FD"/>
    <w:rsid w:val="000B426A"/>
    <w:rsid w:val="000B44CB"/>
    <w:rsid w:val="000B51AA"/>
    <w:rsid w:val="000B54AD"/>
    <w:rsid w:val="000B5A50"/>
    <w:rsid w:val="000B745D"/>
    <w:rsid w:val="000B7736"/>
    <w:rsid w:val="000B7CFD"/>
    <w:rsid w:val="000C09ED"/>
    <w:rsid w:val="000C1F3E"/>
    <w:rsid w:val="000C25DB"/>
    <w:rsid w:val="000C2E5E"/>
    <w:rsid w:val="000C57B2"/>
    <w:rsid w:val="000C5B97"/>
    <w:rsid w:val="000C618E"/>
    <w:rsid w:val="000C6778"/>
    <w:rsid w:val="000D4573"/>
    <w:rsid w:val="000D574E"/>
    <w:rsid w:val="000D596C"/>
    <w:rsid w:val="000D5AFD"/>
    <w:rsid w:val="000D5EB0"/>
    <w:rsid w:val="000D6D26"/>
    <w:rsid w:val="000E01E8"/>
    <w:rsid w:val="000E2199"/>
    <w:rsid w:val="000E2A22"/>
    <w:rsid w:val="000E33EB"/>
    <w:rsid w:val="000E3A66"/>
    <w:rsid w:val="000E4BFC"/>
    <w:rsid w:val="000E4D8C"/>
    <w:rsid w:val="000E6BBF"/>
    <w:rsid w:val="000F0FDC"/>
    <w:rsid w:val="000F1C58"/>
    <w:rsid w:val="000F48D6"/>
    <w:rsid w:val="000F4DB2"/>
    <w:rsid w:val="000F5BAB"/>
    <w:rsid w:val="000F61C9"/>
    <w:rsid w:val="000F7117"/>
    <w:rsid w:val="00100C11"/>
    <w:rsid w:val="001018EC"/>
    <w:rsid w:val="00102D90"/>
    <w:rsid w:val="00102EF9"/>
    <w:rsid w:val="0010386E"/>
    <w:rsid w:val="00103C77"/>
    <w:rsid w:val="00105D15"/>
    <w:rsid w:val="00106A12"/>
    <w:rsid w:val="0011097E"/>
    <w:rsid w:val="00110E54"/>
    <w:rsid w:val="00111420"/>
    <w:rsid w:val="00113551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36CF1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65947"/>
    <w:rsid w:val="00171197"/>
    <w:rsid w:val="00171CC9"/>
    <w:rsid w:val="00172AA4"/>
    <w:rsid w:val="001756F3"/>
    <w:rsid w:val="00175B5E"/>
    <w:rsid w:val="00177509"/>
    <w:rsid w:val="00177B9C"/>
    <w:rsid w:val="00180176"/>
    <w:rsid w:val="00180805"/>
    <w:rsid w:val="00181233"/>
    <w:rsid w:val="001815BC"/>
    <w:rsid w:val="00181673"/>
    <w:rsid w:val="00182B03"/>
    <w:rsid w:val="00182CFA"/>
    <w:rsid w:val="00183E91"/>
    <w:rsid w:val="00184A88"/>
    <w:rsid w:val="00185AA5"/>
    <w:rsid w:val="00185F32"/>
    <w:rsid w:val="00186033"/>
    <w:rsid w:val="00186988"/>
    <w:rsid w:val="00187F07"/>
    <w:rsid w:val="00190BB8"/>
    <w:rsid w:val="00192ED4"/>
    <w:rsid w:val="00193259"/>
    <w:rsid w:val="00194F2E"/>
    <w:rsid w:val="00196AEC"/>
    <w:rsid w:val="0019714D"/>
    <w:rsid w:val="0019735B"/>
    <w:rsid w:val="00197FE8"/>
    <w:rsid w:val="001A1173"/>
    <w:rsid w:val="001A2F9D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85C"/>
    <w:rsid w:val="001B4C03"/>
    <w:rsid w:val="001B6C90"/>
    <w:rsid w:val="001C0D2C"/>
    <w:rsid w:val="001C0D75"/>
    <w:rsid w:val="001C0DD9"/>
    <w:rsid w:val="001C5B1B"/>
    <w:rsid w:val="001C7123"/>
    <w:rsid w:val="001C7F31"/>
    <w:rsid w:val="001D00F6"/>
    <w:rsid w:val="001D0621"/>
    <w:rsid w:val="001D105B"/>
    <w:rsid w:val="001D321E"/>
    <w:rsid w:val="001D340E"/>
    <w:rsid w:val="001D3C5B"/>
    <w:rsid w:val="001D6538"/>
    <w:rsid w:val="001D708B"/>
    <w:rsid w:val="001D7CDB"/>
    <w:rsid w:val="001E0E22"/>
    <w:rsid w:val="001E135B"/>
    <w:rsid w:val="001E2292"/>
    <w:rsid w:val="001E29FB"/>
    <w:rsid w:val="001E426A"/>
    <w:rsid w:val="001E43BF"/>
    <w:rsid w:val="001E4C0D"/>
    <w:rsid w:val="001E5243"/>
    <w:rsid w:val="001E58AD"/>
    <w:rsid w:val="001E7942"/>
    <w:rsid w:val="001E79A9"/>
    <w:rsid w:val="001F244F"/>
    <w:rsid w:val="001F27FD"/>
    <w:rsid w:val="001F3DA5"/>
    <w:rsid w:val="001F65B5"/>
    <w:rsid w:val="001F7422"/>
    <w:rsid w:val="001F7B12"/>
    <w:rsid w:val="002013E8"/>
    <w:rsid w:val="00202388"/>
    <w:rsid w:val="00203D57"/>
    <w:rsid w:val="0020458C"/>
    <w:rsid w:val="00205B3B"/>
    <w:rsid w:val="002077E0"/>
    <w:rsid w:val="00213F94"/>
    <w:rsid w:val="002143BA"/>
    <w:rsid w:val="00215190"/>
    <w:rsid w:val="00215D97"/>
    <w:rsid w:val="002201E3"/>
    <w:rsid w:val="00220CFF"/>
    <w:rsid w:val="00221CE4"/>
    <w:rsid w:val="002220EA"/>
    <w:rsid w:val="002226E3"/>
    <w:rsid w:val="00224156"/>
    <w:rsid w:val="00224CA2"/>
    <w:rsid w:val="002275B3"/>
    <w:rsid w:val="00231C0C"/>
    <w:rsid w:val="00231E72"/>
    <w:rsid w:val="00233DC1"/>
    <w:rsid w:val="00233F8B"/>
    <w:rsid w:val="00234F09"/>
    <w:rsid w:val="00235375"/>
    <w:rsid w:val="00235EAE"/>
    <w:rsid w:val="002370FA"/>
    <w:rsid w:val="00240047"/>
    <w:rsid w:val="00240EF2"/>
    <w:rsid w:val="00241F15"/>
    <w:rsid w:val="00242523"/>
    <w:rsid w:val="002426F4"/>
    <w:rsid w:val="002435FE"/>
    <w:rsid w:val="002436D5"/>
    <w:rsid w:val="00244E8C"/>
    <w:rsid w:val="00245633"/>
    <w:rsid w:val="00245852"/>
    <w:rsid w:val="002503B8"/>
    <w:rsid w:val="00252558"/>
    <w:rsid w:val="00253113"/>
    <w:rsid w:val="00253328"/>
    <w:rsid w:val="002536D3"/>
    <w:rsid w:val="00261EF2"/>
    <w:rsid w:val="00262C7F"/>
    <w:rsid w:val="002635A5"/>
    <w:rsid w:val="00265A29"/>
    <w:rsid w:val="002664C3"/>
    <w:rsid w:val="002705F2"/>
    <w:rsid w:val="00271AB9"/>
    <w:rsid w:val="00272011"/>
    <w:rsid w:val="00272C90"/>
    <w:rsid w:val="00273CBB"/>
    <w:rsid w:val="00275506"/>
    <w:rsid w:val="002761EF"/>
    <w:rsid w:val="002775FD"/>
    <w:rsid w:val="00281E66"/>
    <w:rsid w:val="00282527"/>
    <w:rsid w:val="002828B7"/>
    <w:rsid w:val="00283535"/>
    <w:rsid w:val="002837C2"/>
    <w:rsid w:val="00283EC7"/>
    <w:rsid w:val="00284A2C"/>
    <w:rsid w:val="00284D97"/>
    <w:rsid w:val="002853D1"/>
    <w:rsid w:val="00286E84"/>
    <w:rsid w:val="00287350"/>
    <w:rsid w:val="002900AD"/>
    <w:rsid w:val="00291981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7B64"/>
    <w:rsid w:val="002B0B41"/>
    <w:rsid w:val="002B2302"/>
    <w:rsid w:val="002B4B0C"/>
    <w:rsid w:val="002B5E00"/>
    <w:rsid w:val="002B72EC"/>
    <w:rsid w:val="002C0EE8"/>
    <w:rsid w:val="002C2038"/>
    <w:rsid w:val="002C5063"/>
    <w:rsid w:val="002C68E8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94C"/>
    <w:rsid w:val="002D5EF6"/>
    <w:rsid w:val="002D6D92"/>
    <w:rsid w:val="002D7F83"/>
    <w:rsid w:val="002E02F8"/>
    <w:rsid w:val="002E1E93"/>
    <w:rsid w:val="002E2163"/>
    <w:rsid w:val="002E2FAF"/>
    <w:rsid w:val="002E3D87"/>
    <w:rsid w:val="002E462E"/>
    <w:rsid w:val="002E5063"/>
    <w:rsid w:val="002E5584"/>
    <w:rsid w:val="002E68DD"/>
    <w:rsid w:val="002E7F34"/>
    <w:rsid w:val="002F1083"/>
    <w:rsid w:val="002F13C9"/>
    <w:rsid w:val="002F1B1C"/>
    <w:rsid w:val="002F20F0"/>
    <w:rsid w:val="002F2870"/>
    <w:rsid w:val="002F2F02"/>
    <w:rsid w:val="002F342B"/>
    <w:rsid w:val="00300787"/>
    <w:rsid w:val="00300EB2"/>
    <w:rsid w:val="0030156E"/>
    <w:rsid w:val="00301D62"/>
    <w:rsid w:val="003031B7"/>
    <w:rsid w:val="0030552B"/>
    <w:rsid w:val="003061F5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1397"/>
    <w:rsid w:val="00321E5E"/>
    <w:rsid w:val="0032315B"/>
    <w:rsid w:val="00323330"/>
    <w:rsid w:val="00326CA0"/>
    <w:rsid w:val="00326FA4"/>
    <w:rsid w:val="00327525"/>
    <w:rsid w:val="00327A2C"/>
    <w:rsid w:val="00330D9B"/>
    <w:rsid w:val="0033155D"/>
    <w:rsid w:val="003328B1"/>
    <w:rsid w:val="00332E00"/>
    <w:rsid w:val="0033361E"/>
    <w:rsid w:val="00334E60"/>
    <w:rsid w:val="00334EAB"/>
    <w:rsid w:val="0033703A"/>
    <w:rsid w:val="00337A77"/>
    <w:rsid w:val="00340222"/>
    <w:rsid w:val="00341ACD"/>
    <w:rsid w:val="00342405"/>
    <w:rsid w:val="003428F2"/>
    <w:rsid w:val="00343C8F"/>
    <w:rsid w:val="0034633A"/>
    <w:rsid w:val="00346DE8"/>
    <w:rsid w:val="00350C6C"/>
    <w:rsid w:val="0035137D"/>
    <w:rsid w:val="0035205F"/>
    <w:rsid w:val="00352645"/>
    <w:rsid w:val="0035385C"/>
    <w:rsid w:val="00355DA5"/>
    <w:rsid w:val="00361123"/>
    <w:rsid w:val="00361B65"/>
    <w:rsid w:val="00361BBE"/>
    <w:rsid w:val="00361E2C"/>
    <w:rsid w:val="00365372"/>
    <w:rsid w:val="00365E4E"/>
    <w:rsid w:val="003733A5"/>
    <w:rsid w:val="003765F8"/>
    <w:rsid w:val="003775EE"/>
    <w:rsid w:val="003805DE"/>
    <w:rsid w:val="00383586"/>
    <w:rsid w:val="00383F98"/>
    <w:rsid w:val="0038410B"/>
    <w:rsid w:val="003841AB"/>
    <w:rsid w:val="00384757"/>
    <w:rsid w:val="00390149"/>
    <w:rsid w:val="00390547"/>
    <w:rsid w:val="00391AF7"/>
    <w:rsid w:val="00392784"/>
    <w:rsid w:val="003934AB"/>
    <w:rsid w:val="00393F35"/>
    <w:rsid w:val="00394481"/>
    <w:rsid w:val="0039657E"/>
    <w:rsid w:val="003969F9"/>
    <w:rsid w:val="00396DE3"/>
    <w:rsid w:val="003A17B9"/>
    <w:rsid w:val="003A1EDE"/>
    <w:rsid w:val="003A28A3"/>
    <w:rsid w:val="003A2B29"/>
    <w:rsid w:val="003A4EB9"/>
    <w:rsid w:val="003A75D1"/>
    <w:rsid w:val="003B13C6"/>
    <w:rsid w:val="003B1BFA"/>
    <w:rsid w:val="003B2B71"/>
    <w:rsid w:val="003B382D"/>
    <w:rsid w:val="003B3FCE"/>
    <w:rsid w:val="003B4328"/>
    <w:rsid w:val="003B57C7"/>
    <w:rsid w:val="003B6BA2"/>
    <w:rsid w:val="003B7786"/>
    <w:rsid w:val="003C3F12"/>
    <w:rsid w:val="003C4BB8"/>
    <w:rsid w:val="003C5412"/>
    <w:rsid w:val="003C5FCD"/>
    <w:rsid w:val="003C6234"/>
    <w:rsid w:val="003C7260"/>
    <w:rsid w:val="003D2CF1"/>
    <w:rsid w:val="003D53D1"/>
    <w:rsid w:val="003E0FFC"/>
    <w:rsid w:val="003E2AC4"/>
    <w:rsid w:val="003E45B0"/>
    <w:rsid w:val="003E5478"/>
    <w:rsid w:val="003E6F11"/>
    <w:rsid w:val="003E7378"/>
    <w:rsid w:val="003E763F"/>
    <w:rsid w:val="003F1396"/>
    <w:rsid w:val="003F1428"/>
    <w:rsid w:val="003F3B1F"/>
    <w:rsid w:val="003F3D23"/>
    <w:rsid w:val="003F4C71"/>
    <w:rsid w:val="003F50EA"/>
    <w:rsid w:val="003F5F3C"/>
    <w:rsid w:val="003F6563"/>
    <w:rsid w:val="003F6BAB"/>
    <w:rsid w:val="003F79BA"/>
    <w:rsid w:val="004024DF"/>
    <w:rsid w:val="004026CF"/>
    <w:rsid w:val="00402CE2"/>
    <w:rsid w:val="00402FC1"/>
    <w:rsid w:val="00403471"/>
    <w:rsid w:val="00404342"/>
    <w:rsid w:val="00404B0B"/>
    <w:rsid w:val="00404DC6"/>
    <w:rsid w:val="00407B10"/>
    <w:rsid w:val="004113D3"/>
    <w:rsid w:val="0041156A"/>
    <w:rsid w:val="004118B7"/>
    <w:rsid w:val="0041280F"/>
    <w:rsid w:val="0041338F"/>
    <w:rsid w:val="00414E4E"/>
    <w:rsid w:val="00416CEB"/>
    <w:rsid w:val="00417494"/>
    <w:rsid w:val="0042035D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2B0E"/>
    <w:rsid w:val="0043327A"/>
    <w:rsid w:val="004346C9"/>
    <w:rsid w:val="004355BA"/>
    <w:rsid w:val="00437713"/>
    <w:rsid w:val="0043775A"/>
    <w:rsid w:val="004379AD"/>
    <w:rsid w:val="00440B17"/>
    <w:rsid w:val="00440EE6"/>
    <w:rsid w:val="004411EA"/>
    <w:rsid w:val="00442F91"/>
    <w:rsid w:val="0044377D"/>
    <w:rsid w:val="00443A0F"/>
    <w:rsid w:val="004449B2"/>
    <w:rsid w:val="00444BC1"/>
    <w:rsid w:val="00446F76"/>
    <w:rsid w:val="0044731D"/>
    <w:rsid w:val="00450BB2"/>
    <w:rsid w:val="00450D1D"/>
    <w:rsid w:val="0045250B"/>
    <w:rsid w:val="004527CC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2774"/>
    <w:rsid w:val="00485717"/>
    <w:rsid w:val="004871B0"/>
    <w:rsid w:val="00487603"/>
    <w:rsid w:val="004903EC"/>
    <w:rsid w:val="00490A41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1824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5ED"/>
    <w:rsid w:val="004C5DBA"/>
    <w:rsid w:val="004C78DD"/>
    <w:rsid w:val="004D0710"/>
    <w:rsid w:val="004D0E02"/>
    <w:rsid w:val="004D2852"/>
    <w:rsid w:val="004D3CE9"/>
    <w:rsid w:val="004D49DB"/>
    <w:rsid w:val="004D53C3"/>
    <w:rsid w:val="004D6F0A"/>
    <w:rsid w:val="004D7CA6"/>
    <w:rsid w:val="004D7FF2"/>
    <w:rsid w:val="004E33C8"/>
    <w:rsid w:val="004E3694"/>
    <w:rsid w:val="004E3905"/>
    <w:rsid w:val="004E3C57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1EF"/>
    <w:rsid w:val="004F7CD9"/>
    <w:rsid w:val="0050002A"/>
    <w:rsid w:val="00502024"/>
    <w:rsid w:val="00502C27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474C"/>
    <w:rsid w:val="005150E0"/>
    <w:rsid w:val="00515EEC"/>
    <w:rsid w:val="00516502"/>
    <w:rsid w:val="005229F4"/>
    <w:rsid w:val="00522CE5"/>
    <w:rsid w:val="005254CA"/>
    <w:rsid w:val="00525FA9"/>
    <w:rsid w:val="005275EB"/>
    <w:rsid w:val="00527842"/>
    <w:rsid w:val="00527C95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0F1B"/>
    <w:rsid w:val="00541416"/>
    <w:rsid w:val="00541C68"/>
    <w:rsid w:val="005429AC"/>
    <w:rsid w:val="00542CC2"/>
    <w:rsid w:val="00543A22"/>
    <w:rsid w:val="005509EB"/>
    <w:rsid w:val="0055192A"/>
    <w:rsid w:val="00551ACD"/>
    <w:rsid w:val="00553998"/>
    <w:rsid w:val="00553A89"/>
    <w:rsid w:val="00553CC3"/>
    <w:rsid w:val="005542E5"/>
    <w:rsid w:val="00555391"/>
    <w:rsid w:val="00555B22"/>
    <w:rsid w:val="00555E56"/>
    <w:rsid w:val="00557D0F"/>
    <w:rsid w:val="00562E86"/>
    <w:rsid w:val="005639D7"/>
    <w:rsid w:val="005659B5"/>
    <w:rsid w:val="00565C5C"/>
    <w:rsid w:val="005665D3"/>
    <w:rsid w:val="00566C2D"/>
    <w:rsid w:val="00566CDE"/>
    <w:rsid w:val="00567E0E"/>
    <w:rsid w:val="005701A9"/>
    <w:rsid w:val="0057088D"/>
    <w:rsid w:val="00571B9D"/>
    <w:rsid w:val="00572B7F"/>
    <w:rsid w:val="00574181"/>
    <w:rsid w:val="00575596"/>
    <w:rsid w:val="00575C3F"/>
    <w:rsid w:val="0058102C"/>
    <w:rsid w:val="005827CC"/>
    <w:rsid w:val="00582BFF"/>
    <w:rsid w:val="00582C96"/>
    <w:rsid w:val="00583F0C"/>
    <w:rsid w:val="00585441"/>
    <w:rsid w:val="005855DC"/>
    <w:rsid w:val="0058588D"/>
    <w:rsid w:val="00585A17"/>
    <w:rsid w:val="0059003D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16A6"/>
    <w:rsid w:val="005A3320"/>
    <w:rsid w:val="005A34DC"/>
    <w:rsid w:val="005A3B41"/>
    <w:rsid w:val="005A5ED1"/>
    <w:rsid w:val="005A62DF"/>
    <w:rsid w:val="005A6539"/>
    <w:rsid w:val="005A6713"/>
    <w:rsid w:val="005A67CD"/>
    <w:rsid w:val="005A6B43"/>
    <w:rsid w:val="005A6F9D"/>
    <w:rsid w:val="005A6FD5"/>
    <w:rsid w:val="005A78FD"/>
    <w:rsid w:val="005B0E31"/>
    <w:rsid w:val="005B161B"/>
    <w:rsid w:val="005B1E63"/>
    <w:rsid w:val="005B261C"/>
    <w:rsid w:val="005B2C1D"/>
    <w:rsid w:val="005B35BC"/>
    <w:rsid w:val="005B42A7"/>
    <w:rsid w:val="005B5614"/>
    <w:rsid w:val="005B6ACE"/>
    <w:rsid w:val="005B7B31"/>
    <w:rsid w:val="005C03E5"/>
    <w:rsid w:val="005C074F"/>
    <w:rsid w:val="005C182A"/>
    <w:rsid w:val="005C1CE3"/>
    <w:rsid w:val="005C3160"/>
    <w:rsid w:val="005C32A4"/>
    <w:rsid w:val="005C492F"/>
    <w:rsid w:val="005C4D2E"/>
    <w:rsid w:val="005C4F97"/>
    <w:rsid w:val="005C51A9"/>
    <w:rsid w:val="005C5D0E"/>
    <w:rsid w:val="005D0053"/>
    <w:rsid w:val="005D046A"/>
    <w:rsid w:val="005D04A0"/>
    <w:rsid w:val="005D0505"/>
    <w:rsid w:val="005D08DA"/>
    <w:rsid w:val="005D0EDD"/>
    <w:rsid w:val="005D0F2F"/>
    <w:rsid w:val="005D1579"/>
    <w:rsid w:val="005D25B3"/>
    <w:rsid w:val="005D2904"/>
    <w:rsid w:val="005D3F68"/>
    <w:rsid w:val="005D4A61"/>
    <w:rsid w:val="005D5B93"/>
    <w:rsid w:val="005D60AE"/>
    <w:rsid w:val="005D7575"/>
    <w:rsid w:val="005E008C"/>
    <w:rsid w:val="005E1BD4"/>
    <w:rsid w:val="005E1ED2"/>
    <w:rsid w:val="005E2DE2"/>
    <w:rsid w:val="005E32E9"/>
    <w:rsid w:val="005E3A7C"/>
    <w:rsid w:val="005E463B"/>
    <w:rsid w:val="005E749A"/>
    <w:rsid w:val="005E74DD"/>
    <w:rsid w:val="005E7C5C"/>
    <w:rsid w:val="005F28F8"/>
    <w:rsid w:val="005F352F"/>
    <w:rsid w:val="005F49FC"/>
    <w:rsid w:val="005F502F"/>
    <w:rsid w:val="005F5F74"/>
    <w:rsid w:val="005F69D0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FA0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26678"/>
    <w:rsid w:val="00627759"/>
    <w:rsid w:val="006313ED"/>
    <w:rsid w:val="006338C6"/>
    <w:rsid w:val="00633D28"/>
    <w:rsid w:val="00633E39"/>
    <w:rsid w:val="0063658E"/>
    <w:rsid w:val="00636885"/>
    <w:rsid w:val="00636D15"/>
    <w:rsid w:val="006407FA"/>
    <w:rsid w:val="00640F17"/>
    <w:rsid w:val="00641F2A"/>
    <w:rsid w:val="006431B0"/>
    <w:rsid w:val="00643423"/>
    <w:rsid w:val="0064452C"/>
    <w:rsid w:val="006447A0"/>
    <w:rsid w:val="006449BF"/>
    <w:rsid w:val="00644FB9"/>
    <w:rsid w:val="00645D9F"/>
    <w:rsid w:val="00647DCD"/>
    <w:rsid w:val="006513F9"/>
    <w:rsid w:val="006523CA"/>
    <w:rsid w:val="00652A60"/>
    <w:rsid w:val="00653062"/>
    <w:rsid w:val="006541B8"/>
    <w:rsid w:val="0065459F"/>
    <w:rsid w:val="00655086"/>
    <w:rsid w:val="006557E5"/>
    <w:rsid w:val="00655995"/>
    <w:rsid w:val="00656388"/>
    <w:rsid w:val="00660487"/>
    <w:rsid w:val="00660ECE"/>
    <w:rsid w:val="00662344"/>
    <w:rsid w:val="00662936"/>
    <w:rsid w:val="00664E71"/>
    <w:rsid w:val="00667461"/>
    <w:rsid w:val="00667B41"/>
    <w:rsid w:val="0067025D"/>
    <w:rsid w:val="00670950"/>
    <w:rsid w:val="00670BA9"/>
    <w:rsid w:val="0067242F"/>
    <w:rsid w:val="00673539"/>
    <w:rsid w:val="006742C1"/>
    <w:rsid w:val="0067473A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88A"/>
    <w:rsid w:val="00684696"/>
    <w:rsid w:val="00687C11"/>
    <w:rsid w:val="00690CF7"/>
    <w:rsid w:val="00691D55"/>
    <w:rsid w:val="00693AAD"/>
    <w:rsid w:val="00693B3B"/>
    <w:rsid w:val="0069552E"/>
    <w:rsid w:val="00695CBF"/>
    <w:rsid w:val="00697558"/>
    <w:rsid w:val="006976B9"/>
    <w:rsid w:val="006979A0"/>
    <w:rsid w:val="00697C97"/>
    <w:rsid w:val="006A33BB"/>
    <w:rsid w:val="006A3441"/>
    <w:rsid w:val="006A6716"/>
    <w:rsid w:val="006A6DE2"/>
    <w:rsid w:val="006B0F44"/>
    <w:rsid w:val="006B14DF"/>
    <w:rsid w:val="006B1C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3EE"/>
    <w:rsid w:val="006C106D"/>
    <w:rsid w:val="006C1979"/>
    <w:rsid w:val="006C2142"/>
    <w:rsid w:val="006C2E5A"/>
    <w:rsid w:val="006C2E96"/>
    <w:rsid w:val="006C38F6"/>
    <w:rsid w:val="006C462D"/>
    <w:rsid w:val="006C6A59"/>
    <w:rsid w:val="006C72A8"/>
    <w:rsid w:val="006D058E"/>
    <w:rsid w:val="006D0B87"/>
    <w:rsid w:val="006D1949"/>
    <w:rsid w:val="006D22C9"/>
    <w:rsid w:val="006D3046"/>
    <w:rsid w:val="006D6163"/>
    <w:rsid w:val="006D6FA6"/>
    <w:rsid w:val="006D7129"/>
    <w:rsid w:val="006E1277"/>
    <w:rsid w:val="006E2B1D"/>
    <w:rsid w:val="006E3E18"/>
    <w:rsid w:val="006E4E45"/>
    <w:rsid w:val="006E6F5F"/>
    <w:rsid w:val="006F0E3D"/>
    <w:rsid w:val="006F149C"/>
    <w:rsid w:val="006F1969"/>
    <w:rsid w:val="006F1DA6"/>
    <w:rsid w:val="006F329C"/>
    <w:rsid w:val="006F392E"/>
    <w:rsid w:val="006F424C"/>
    <w:rsid w:val="007022BD"/>
    <w:rsid w:val="0070334B"/>
    <w:rsid w:val="00703665"/>
    <w:rsid w:val="00705324"/>
    <w:rsid w:val="00705518"/>
    <w:rsid w:val="007060DB"/>
    <w:rsid w:val="00707163"/>
    <w:rsid w:val="00707ACB"/>
    <w:rsid w:val="00710AE6"/>
    <w:rsid w:val="00711780"/>
    <w:rsid w:val="00713359"/>
    <w:rsid w:val="0071339B"/>
    <w:rsid w:val="00715177"/>
    <w:rsid w:val="00716ED3"/>
    <w:rsid w:val="00717CDF"/>
    <w:rsid w:val="00722576"/>
    <w:rsid w:val="00723DEB"/>
    <w:rsid w:val="00725406"/>
    <w:rsid w:val="00726373"/>
    <w:rsid w:val="007268C4"/>
    <w:rsid w:val="00727667"/>
    <w:rsid w:val="00731DD6"/>
    <w:rsid w:val="0073253B"/>
    <w:rsid w:val="00732A83"/>
    <w:rsid w:val="00734B1E"/>
    <w:rsid w:val="00735493"/>
    <w:rsid w:val="007356BE"/>
    <w:rsid w:val="00735D56"/>
    <w:rsid w:val="00736A0D"/>
    <w:rsid w:val="00736C05"/>
    <w:rsid w:val="00736DFE"/>
    <w:rsid w:val="007401C4"/>
    <w:rsid w:val="00741346"/>
    <w:rsid w:val="00741BB6"/>
    <w:rsid w:val="007428F2"/>
    <w:rsid w:val="0074370E"/>
    <w:rsid w:val="00744A34"/>
    <w:rsid w:val="00745864"/>
    <w:rsid w:val="00745F5A"/>
    <w:rsid w:val="007476DA"/>
    <w:rsid w:val="00750228"/>
    <w:rsid w:val="00750548"/>
    <w:rsid w:val="007507B1"/>
    <w:rsid w:val="00750A15"/>
    <w:rsid w:val="00752256"/>
    <w:rsid w:val="00752750"/>
    <w:rsid w:val="00752B4E"/>
    <w:rsid w:val="0075381A"/>
    <w:rsid w:val="0075404E"/>
    <w:rsid w:val="00755293"/>
    <w:rsid w:val="0075549C"/>
    <w:rsid w:val="0075613B"/>
    <w:rsid w:val="0076149B"/>
    <w:rsid w:val="00763735"/>
    <w:rsid w:val="007648CF"/>
    <w:rsid w:val="00765D30"/>
    <w:rsid w:val="007676CE"/>
    <w:rsid w:val="00767785"/>
    <w:rsid w:val="00770003"/>
    <w:rsid w:val="00773C61"/>
    <w:rsid w:val="00776803"/>
    <w:rsid w:val="00777E8C"/>
    <w:rsid w:val="007821D7"/>
    <w:rsid w:val="007824F8"/>
    <w:rsid w:val="00782BF6"/>
    <w:rsid w:val="007860E7"/>
    <w:rsid w:val="007861C1"/>
    <w:rsid w:val="00790415"/>
    <w:rsid w:val="00790FDB"/>
    <w:rsid w:val="00792E21"/>
    <w:rsid w:val="007948DD"/>
    <w:rsid w:val="00796420"/>
    <w:rsid w:val="00797CA3"/>
    <w:rsid w:val="007A012C"/>
    <w:rsid w:val="007A0698"/>
    <w:rsid w:val="007A159C"/>
    <w:rsid w:val="007A1A84"/>
    <w:rsid w:val="007A1C7E"/>
    <w:rsid w:val="007A3630"/>
    <w:rsid w:val="007A37D6"/>
    <w:rsid w:val="007A4E36"/>
    <w:rsid w:val="007A5091"/>
    <w:rsid w:val="007A51B3"/>
    <w:rsid w:val="007A617E"/>
    <w:rsid w:val="007A6B8F"/>
    <w:rsid w:val="007A712A"/>
    <w:rsid w:val="007A766A"/>
    <w:rsid w:val="007A7E6B"/>
    <w:rsid w:val="007B1E95"/>
    <w:rsid w:val="007B25B8"/>
    <w:rsid w:val="007B30B9"/>
    <w:rsid w:val="007B3B10"/>
    <w:rsid w:val="007B408A"/>
    <w:rsid w:val="007B46BD"/>
    <w:rsid w:val="007B48FB"/>
    <w:rsid w:val="007B4E28"/>
    <w:rsid w:val="007B65A2"/>
    <w:rsid w:val="007B681C"/>
    <w:rsid w:val="007B7DFC"/>
    <w:rsid w:val="007C0698"/>
    <w:rsid w:val="007C14A2"/>
    <w:rsid w:val="007C371D"/>
    <w:rsid w:val="007C4291"/>
    <w:rsid w:val="007C4A27"/>
    <w:rsid w:val="007C5422"/>
    <w:rsid w:val="007D06B5"/>
    <w:rsid w:val="007D100C"/>
    <w:rsid w:val="007D12D8"/>
    <w:rsid w:val="007D23C0"/>
    <w:rsid w:val="007D3930"/>
    <w:rsid w:val="007D3CF7"/>
    <w:rsid w:val="007E23EE"/>
    <w:rsid w:val="007E262F"/>
    <w:rsid w:val="007E2682"/>
    <w:rsid w:val="007E4FEF"/>
    <w:rsid w:val="007E7F18"/>
    <w:rsid w:val="007E7FE8"/>
    <w:rsid w:val="007F0516"/>
    <w:rsid w:val="007F0883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71D"/>
    <w:rsid w:val="008032F8"/>
    <w:rsid w:val="00803C07"/>
    <w:rsid w:val="00803F8B"/>
    <w:rsid w:val="008057A0"/>
    <w:rsid w:val="008063E7"/>
    <w:rsid w:val="008069E7"/>
    <w:rsid w:val="00807EAB"/>
    <w:rsid w:val="008101CB"/>
    <w:rsid w:val="008107B5"/>
    <w:rsid w:val="00811D4C"/>
    <w:rsid w:val="00811E1B"/>
    <w:rsid w:val="00813800"/>
    <w:rsid w:val="008207DB"/>
    <w:rsid w:val="00821310"/>
    <w:rsid w:val="008217FD"/>
    <w:rsid w:val="00822B92"/>
    <w:rsid w:val="00823347"/>
    <w:rsid w:val="00824C73"/>
    <w:rsid w:val="00827327"/>
    <w:rsid w:val="00827B07"/>
    <w:rsid w:val="008313DD"/>
    <w:rsid w:val="00831955"/>
    <w:rsid w:val="008344A2"/>
    <w:rsid w:val="008353C5"/>
    <w:rsid w:val="0084041C"/>
    <w:rsid w:val="00840A73"/>
    <w:rsid w:val="008417D2"/>
    <w:rsid w:val="00842790"/>
    <w:rsid w:val="00845467"/>
    <w:rsid w:val="00845607"/>
    <w:rsid w:val="008461F0"/>
    <w:rsid w:val="008469C9"/>
    <w:rsid w:val="00847F3A"/>
    <w:rsid w:val="00850946"/>
    <w:rsid w:val="0085132B"/>
    <w:rsid w:val="0085475A"/>
    <w:rsid w:val="00855164"/>
    <w:rsid w:val="00855D7B"/>
    <w:rsid w:val="00856558"/>
    <w:rsid w:val="00860DAD"/>
    <w:rsid w:val="008664C7"/>
    <w:rsid w:val="008665FF"/>
    <w:rsid w:val="008669C3"/>
    <w:rsid w:val="00867567"/>
    <w:rsid w:val="0087262A"/>
    <w:rsid w:val="00873F9C"/>
    <w:rsid w:val="008750F5"/>
    <w:rsid w:val="008772A0"/>
    <w:rsid w:val="008772C2"/>
    <w:rsid w:val="00877402"/>
    <w:rsid w:val="00880BBF"/>
    <w:rsid w:val="0088104D"/>
    <w:rsid w:val="00881359"/>
    <w:rsid w:val="008815CC"/>
    <w:rsid w:val="0088166C"/>
    <w:rsid w:val="008824DB"/>
    <w:rsid w:val="008830E8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0F9"/>
    <w:rsid w:val="008A1C07"/>
    <w:rsid w:val="008A22B3"/>
    <w:rsid w:val="008A2D36"/>
    <w:rsid w:val="008A4029"/>
    <w:rsid w:val="008A60E2"/>
    <w:rsid w:val="008A7403"/>
    <w:rsid w:val="008A7C8A"/>
    <w:rsid w:val="008B1719"/>
    <w:rsid w:val="008B45DD"/>
    <w:rsid w:val="008B64ED"/>
    <w:rsid w:val="008B6A05"/>
    <w:rsid w:val="008B7E79"/>
    <w:rsid w:val="008C155D"/>
    <w:rsid w:val="008C31DB"/>
    <w:rsid w:val="008C3381"/>
    <w:rsid w:val="008C3759"/>
    <w:rsid w:val="008C4521"/>
    <w:rsid w:val="008C4F9A"/>
    <w:rsid w:val="008C570A"/>
    <w:rsid w:val="008C6439"/>
    <w:rsid w:val="008C6626"/>
    <w:rsid w:val="008C6DB1"/>
    <w:rsid w:val="008C6F65"/>
    <w:rsid w:val="008C715E"/>
    <w:rsid w:val="008D065F"/>
    <w:rsid w:val="008D10CC"/>
    <w:rsid w:val="008D1C07"/>
    <w:rsid w:val="008D350D"/>
    <w:rsid w:val="008D3E56"/>
    <w:rsid w:val="008D4114"/>
    <w:rsid w:val="008D4811"/>
    <w:rsid w:val="008D564D"/>
    <w:rsid w:val="008D5B7C"/>
    <w:rsid w:val="008D6839"/>
    <w:rsid w:val="008E1178"/>
    <w:rsid w:val="008E3F0E"/>
    <w:rsid w:val="008E3F34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75F2"/>
    <w:rsid w:val="00907D23"/>
    <w:rsid w:val="00910854"/>
    <w:rsid w:val="00912BE7"/>
    <w:rsid w:val="009136ED"/>
    <w:rsid w:val="00913F28"/>
    <w:rsid w:val="0091485A"/>
    <w:rsid w:val="00915DF5"/>
    <w:rsid w:val="00916589"/>
    <w:rsid w:val="00917557"/>
    <w:rsid w:val="00917AF1"/>
    <w:rsid w:val="00922C1F"/>
    <w:rsid w:val="009232F6"/>
    <w:rsid w:val="00923A22"/>
    <w:rsid w:val="00923CEB"/>
    <w:rsid w:val="0092443D"/>
    <w:rsid w:val="00925AE6"/>
    <w:rsid w:val="00925F31"/>
    <w:rsid w:val="0092608B"/>
    <w:rsid w:val="0092683D"/>
    <w:rsid w:val="00926E81"/>
    <w:rsid w:val="0092770F"/>
    <w:rsid w:val="00927A18"/>
    <w:rsid w:val="00927C62"/>
    <w:rsid w:val="00930F09"/>
    <w:rsid w:val="009332CE"/>
    <w:rsid w:val="0093543F"/>
    <w:rsid w:val="00935EE7"/>
    <w:rsid w:val="00937285"/>
    <w:rsid w:val="0093783C"/>
    <w:rsid w:val="0094037D"/>
    <w:rsid w:val="00940F47"/>
    <w:rsid w:val="009418B7"/>
    <w:rsid w:val="0094204D"/>
    <w:rsid w:val="0094272D"/>
    <w:rsid w:val="00942E94"/>
    <w:rsid w:val="0094485D"/>
    <w:rsid w:val="00945049"/>
    <w:rsid w:val="00951230"/>
    <w:rsid w:val="00951844"/>
    <w:rsid w:val="00952829"/>
    <w:rsid w:val="009537FD"/>
    <w:rsid w:val="00953891"/>
    <w:rsid w:val="0095399B"/>
    <w:rsid w:val="00953D4F"/>
    <w:rsid w:val="009569A8"/>
    <w:rsid w:val="00956C5B"/>
    <w:rsid w:val="00956C7F"/>
    <w:rsid w:val="00957277"/>
    <w:rsid w:val="009576F5"/>
    <w:rsid w:val="00957D2E"/>
    <w:rsid w:val="00960570"/>
    <w:rsid w:val="00961526"/>
    <w:rsid w:val="009633B4"/>
    <w:rsid w:val="00963ACC"/>
    <w:rsid w:val="00964482"/>
    <w:rsid w:val="009644B3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5589"/>
    <w:rsid w:val="00975CE8"/>
    <w:rsid w:val="00976237"/>
    <w:rsid w:val="009773D2"/>
    <w:rsid w:val="009846B9"/>
    <w:rsid w:val="0098656A"/>
    <w:rsid w:val="009865A9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654"/>
    <w:rsid w:val="009A090A"/>
    <w:rsid w:val="009A13E0"/>
    <w:rsid w:val="009A1BC5"/>
    <w:rsid w:val="009A266E"/>
    <w:rsid w:val="009A2B7B"/>
    <w:rsid w:val="009A2E8F"/>
    <w:rsid w:val="009A3626"/>
    <w:rsid w:val="009A437C"/>
    <w:rsid w:val="009A4380"/>
    <w:rsid w:val="009A4E75"/>
    <w:rsid w:val="009A62E1"/>
    <w:rsid w:val="009A7756"/>
    <w:rsid w:val="009A7849"/>
    <w:rsid w:val="009B0A28"/>
    <w:rsid w:val="009B13D8"/>
    <w:rsid w:val="009B2CDA"/>
    <w:rsid w:val="009B3659"/>
    <w:rsid w:val="009B3BCB"/>
    <w:rsid w:val="009B4681"/>
    <w:rsid w:val="009B4C20"/>
    <w:rsid w:val="009B50F3"/>
    <w:rsid w:val="009B587A"/>
    <w:rsid w:val="009B7AC5"/>
    <w:rsid w:val="009C0B91"/>
    <w:rsid w:val="009C37FA"/>
    <w:rsid w:val="009C44AE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72"/>
    <w:rsid w:val="009D4DE4"/>
    <w:rsid w:val="009D7106"/>
    <w:rsid w:val="009D7755"/>
    <w:rsid w:val="009D7D8B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6151"/>
    <w:rsid w:val="009F7334"/>
    <w:rsid w:val="009F782D"/>
    <w:rsid w:val="009F79A0"/>
    <w:rsid w:val="009F7D01"/>
    <w:rsid w:val="00A0059D"/>
    <w:rsid w:val="00A03D35"/>
    <w:rsid w:val="00A049F8"/>
    <w:rsid w:val="00A05135"/>
    <w:rsid w:val="00A0649A"/>
    <w:rsid w:val="00A06EC6"/>
    <w:rsid w:val="00A07F76"/>
    <w:rsid w:val="00A1393D"/>
    <w:rsid w:val="00A13E46"/>
    <w:rsid w:val="00A15D81"/>
    <w:rsid w:val="00A17134"/>
    <w:rsid w:val="00A1741A"/>
    <w:rsid w:val="00A2031C"/>
    <w:rsid w:val="00A240C7"/>
    <w:rsid w:val="00A24D96"/>
    <w:rsid w:val="00A30EC0"/>
    <w:rsid w:val="00A31453"/>
    <w:rsid w:val="00A32788"/>
    <w:rsid w:val="00A3386A"/>
    <w:rsid w:val="00A362C3"/>
    <w:rsid w:val="00A36339"/>
    <w:rsid w:val="00A375BB"/>
    <w:rsid w:val="00A37F6E"/>
    <w:rsid w:val="00A4048A"/>
    <w:rsid w:val="00A40E3B"/>
    <w:rsid w:val="00A427E3"/>
    <w:rsid w:val="00A445BF"/>
    <w:rsid w:val="00A45981"/>
    <w:rsid w:val="00A4779B"/>
    <w:rsid w:val="00A5085A"/>
    <w:rsid w:val="00A50AE1"/>
    <w:rsid w:val="00A50FE6"/>
    <w:rsid w:val="00A510C2"/>
    <w:rsid w:val="00A51150"/>
    <w:rsid w:val="00A51335"/>
    <w:rsid w:val="00A5309A"/>
    <w:rsid w:val="00A5338D"/>
    <w:rsid w:val="00A55A81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68FB"/>
    <w:rsid w:val="00A77733"/>
    <w:rsid w:val="00A77E1F"/>
    <w:rsid w:val="00A77FB2"/>
    <w:rsid w:val="00A81DB7"/>
    <w:rsid w:val="00A82DF8"/>
    <w:rsid w:val="00A83D79"/>
    <w:rsid w:val="00A84887"/>
    <w:rsid w:val="00A84D0E"/>
    <w:rsid w:val="00A8594F"/>
    <w:rsid w:val="00A85BF2"/>
    <w:rsid w:val="00A866EB"/>
    <w:rsid w:val="00A90BDE"/>
    <w:rsid w:val="00A92239"/>
    <w:rsid w:val="00A92D10"/>
    <w:rsid w:val="00A92FB4"/>
    <w:rsid w:val="00A95016"/>
    <w:rsid w:val="00A961DA"/>
    <w:rsid w:val="00A962EE"/>
    <w:rsid w:val="00A97F96"/>
    <w:rsid w:val="00AA161A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6541"/>
    <w:rsid w:val="00AA6FC9"/>
    <w:rsid w:val="00AA7267"/>
    <w:rsid w:val="00AB22F6"/>
    <w:rsid w:val="00AB233E"/>
    <w:rsid w:val="00AB40D2"/>
    <w:rsid w:val="00AB52A4"/>
    <w:rsid w:val="00AB5451"/>
    <w:rsid w:val="00AB567B"/>
    <w:rsid w:val="00AB6AD7"/>
    <w:rsid w:val="00AB7730"/>
    <w:rsid w:val="00AB7CA0"/>
    <w:rsid w:val="00AC14DC"/>
    <w:rsid w:val="00AC1F71"/>
    <w:rsid w:val="00AC3371"/>
    <w:rsid w:val="00AC4BFE"/>
    <w:rsid w:val="00AC4C8A"/>
    <w:rsid w:val="00AC589A"/>
    <w:rsid w:val="00AC5F16"/>
    <w:rsid w:val="00AC6737"/>
    <w:rsid w:val="00AD0B45"/>
    <w:rsid w:val="00AD2EB1"/>
    <w:rsid w:val="00AD2F55"/>
    <w:rsid w:val="00AD38E1"/>
    <w:rsid w:val="00AD3DCA"/>
    <w:rsid w:val="00AD590F"/>
    <w:rsid w:val="00AD7D04"/>
    <w:rsid w:val="00AE021A"/>
    <w:rsid w:val="00AE0595"/>
    <w:rsid w:val="00AE1CFB"/>
    <w:rsid w:val="00AE1E36"/>
    <w:rsid w:val="00AE23B9"/>
    <w:rsid w:val="00AE2FEE"/>
    <w:rsid w:val="00AE3691"/>
    <w:rsid w:val="00AE534E"/>
    <w:rsid w:val="00AE56C8"/>
    <w:rsid w:val="00AE5D32"/>
    <w:rsid w:val="00AE6DE5"/>
    <w:rsid w:val="00AE791D"/>
    <w:rsid w:val="00AF282A"/>
    <w:rsid w:val="00AF2A66"/>
    <w:rsid w:val="00AF4FC5"/>
    <w:rsid w:val="00AF573C"/>
    <w:rsid w:val="00AF57DE"/>
    <w:rsid w:val="00AF5FF3"/>
    <w:rsid w:val="00AF6752"/>
    <w:rsid w:val="00AF6D56"/>
    <w:rsid w:val="00AF73E7"/>
    <w:rsid w:val="00AF76E6"/>
    <w:rsid w:val="00B01104"/>
    <w:rsid w:val="00B03278"/>
    <w:rsid w:val="00B0497A"/>
    <w:rsid w:val="00B06E5A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21493"/>
    <w:rsid w:val="00B2240B"/>
    <w:rsid w:val="00B23F51"/>
    <w:rsid w:val="00B24439"/>
    <w:rsid w:val="00B251D4"/>
    <w:rsid w:val="00B265E3"/>
    <w:rsid w:val="00B272F0"/>
    <w:rsid w:val="00B309AF"/>
    <w:rsid w:val="00B30F1B"/>
    <w:rsid w:val="00B32A6E"/>
    <w:rsid w:val="00B3357C"/>
    <w:rsid w:val="00B34453"/>
    <w:rsid w:val="00B34761"/>
    <w:rsid w:val="00B36C2C"/>
    <w:rsid w:val="00B37ED0"/>
    <w:rsid w:val="00B41059"/>
    <w:rsid w:val="00B412AE"/>
    <w:rsid w:val="00B416A6"/>
    <w:rsid w:val="00B42BF5"/>
    <w:rsid w:val="00B44890"/>
    <w:rsid w:val="00B449D9"/>
    <w:rsid w:val="00B44F8F"/>
    <w:rsid w:val="00B4579B"/>
    <w:rsid w:val="00B51556"/>
    <w:rsid w:val="00B5245D"/>
    <w:rsid w:val="00B52526"/>
    <w:rsid w:val="00B54A46"/>
    <w:rsid w:val="00B56F92"/>
    <w:rsid w:val="00B57E73"/>
    <w:rsid w:val="00B60878"/>
    <w:rsid w:val="00B614B8"/>
    <w:rsid w:val="00B61EB3"/>
    <w:rsid w:val="00B622C1"/>
    <w:rsid w:val="00B628D3"/>
    <w:rsid w:val="00B66000"/>
    <w:rsid w:val="00B6671E"/>
    <w:rsid w:val="00B67016"/>
    <w:rsid w:val="00B670DB"/>
    <w:rsid w:val="00B70D12"/>
    <w:rsid w:val="00B71FC7"/>
    <w:rsid w:val="00B72EC3"/>
    <w:rsid w:val="00B7410E"/>
    <w:rsid w:val="00B7741C"/>
    <w:rsid w:val="00B77F21"/>
    <w:rsid w:val="00B80BCC"/>
    <w:rsid w:val="00B81063"/>
    <w:rsid w:val="00B81195"/>
    <w:rsid w:val="00B81E95"/>
    <w:rsid w:val="00B82B7A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3D5E"/>
    <w:rsid w:val="00BA42D9"/>
    <w:rsid w:val="00BA458E"/>
    <w:rsid w:val="00BA5F42"/>
    <w:rsid w:val="00BA6666"/>
    <w:rsid w:val="00BA6788"/>
    <w:rsid w:val="00BB0D2D"/>
    <w:rsid w:val="00BB3499"/>
    <w:rsid w:val="00BB5C53"/>
    <w:rsid w:val="00BB7D4E"/>
    <w:rsid w:val="00BC255F"/>
    <w:rsid w:val="00BC2BC8"/>
    <w:rsid w:val="00BC373A"/>
    <w:rsid w:val="00BC3BE3"/>
    <w:rsid w:val="00BC3D88"/>
    <w:rsid w:val="00BC4203"/>
    <w:rsid w:val="00BC5232"/>
    <w:rsid w:val="00BC529E"/>
    <w:rsid w:val="00BC56AC"/>
    <w:rsid w:val="00BC695E"/>
    <w:rsid w:val="00BC7282"/>
    <w:rsid w:val="00BC75C7"/>
    <w:rsid w:val="00BC761F"/>
    <w:rsid w:val="00BC7D8C"/>
    <w:rsid w:val="00BC7F4C"/>
    <w:rsid w:val="00BD0ED1"/>
    <w:rsid w:val="00BD3613"/>
    <w:rsid w:val="00BD3F54"/>
    <w:rsid w:val="00BD403E"/>
    <w:rsid w:val="00BD405A"/>
    <w:rsid w:val="00BD60E1"/>
    <w:rsid w:val="00BD7407"/>
    <w:rsid w:val="00BE05F0"/>
    <w:rsid w:val="00BE0984"/>
    <w:rsid w:val="00BE191A"/>
    <w:rsid w:val="00BE23B8"/>
    <w:rsid w:val="00BE2B8C"/>
    <w:rsid w:val="00BE3C51"/>
    <w:rsid w:val="00BE614A"/>
    <w:rsid w:val="00BE6D3D"/>
    <w:rsid w:val="00BF054B"/>
    <w:rsid w:val="00BF076C"/>
    <w:rsid w:val="00BF13F9"/>
    <w:rsid w:val="00BF2351"/>
    <w:rsid w:val="00BF2893"/>
    <w:rsid w:val="00BF375A"/>
    <w:rsid w:val="00BF58E6"/>
    <w:rsid w:val="00BF5B84"/>
    <w:rsid w:val="00BF6174"/>
    <w:rsid w:val="00BF65C6"/>
    <w:rsid w:val="00BF6620"/>
    <w:rsid w:val="00BF78B7"/>
    <w:rsid w:val="00BF79B8"/>
    <w:rsid w:val="00C00028"/>
    <w:rsid w:val="00C014D4"/>
    <w:rsid w:val="00C0154B"/>
    <w:rsid w:val="00C04A47"/>
    <w:rsid w:val="00C05146"/>
    <w:rsid w:val="00C051CC"/>
    <w:rsid w:val="00C0562E"/>
    <w:rsid w:val="00C05840"/>
    <w:rsid w:val="00C05BFE"/>
    <w:rsid w:val="00C05FB7"/>
    <w:rsid w:val="00C10FE3"/>
    <w:rsid w:val="00C11206"/>
    <w:rsid w:val="00C12434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547D"/>
    <w:rsid w:val="00C26702"/>
    <w:rsid w:val="00C27554"/>
    <w:rsid w:val="00C30D49"/>
    <w:rsid w:val="00C30F9D"/>
    <w:rsid w:val="00C31057"/>
    <w:rsid w:val="00C3240C"/>
    <w:rsid w:val="00C327AB"/>
    <w:rsid w:val="00C358FF"/>
    <w:rsid w:val="00C364C7"/>
    <w:rsid w:val="00C36EFA"/>
    <w:rsid w:val="00C4164B"/>
    <w:rsid w:val="00C427F5"/>
    <w:rsid w:val="00C4334B"/>
    <w:rsid w:val="00C433A8"/>
    <w:rsid w:val="00C43656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6080"/>
    <w:rsid w:val="00C665B1"/>
    <w:rsid w:val="00C66D0F"/>
    <w:rsid w:val="00C66E84"/>
    <w:rsid w:val="00C6797F"/>
    <w:rsid w:val="00C72872"/>
    <w:rsid w:val="00C72AA8"/>
    <w:rsid w:val="00C72BF0"/>
    <w:rsid w:val="00C73FA7"/>
    <w:rsid w:val="00C754D8"/>
    <w:rsid w:val="00C7614B"/>
    <w:rsid w:val="00C77D35"/>
    <w:rsid w:val="00C803DC"/>
    <w:rsid w:val="00C8293B"/>
    <w:rsid w:val="00C838A3"/>
    <w:rsid w:val="00C86467"/>
    <w:rsid w:val="00C86BFD"/>
    <w:rsid w:val="00C90258"/>
    <w:rsid w:val="00C911CD"/>
    <w:rsid w:val="00C91860"/>
    <w:rsid w:val="00C931D5"/>
    <w:rsid w:val="00C94ECB"/>
    <w:rsid w:val="00C978CA"/>
    <w:rsid w:val="00CA10DF"/>
    <w:rsid w:val="00CA42F7"/>
    <w:rsid w:val="00CA5DAD"/>
    <w:rsid w:val="00CA78C6"/>
    <w:rsid w:val="00CA7AF5"/>
    <w:rsid w:val="00CB0D6A"/>
    <w:rsid w:val="00CB3124"/>
    <w:rsid w:val="00CB3CE4"/>
    <w:rsid w:val="00CB7AFF"/>
    <w:rsid w:val="00CC1777"/>
    <w:rsid w:val="00CC1BDA"/>
    <w:rsid w:val="00CC2400"/>
    <w:rsid w:val="00CC3422"/>
    <w:rsid w:val="00CC4030"/>
    <w:rsid w:val="00CC6033"/>
    <w:rsid w:val="00CC730E"/>
    <w:rsid w:val="00CD0BCD"/>
    <w:rsid w:val="00CD0EDE"/>
    <w:rsid w:val="00CD1D18"/>
    <w:rsid w:val="00CD1E1F"/>
    <w:rsid w:val="00CD2452"/>
    <w:rsid w:val="00CD4605"/>
    <w:rsid w:val="00CD4B62"/>
    <w:rsid w:val="00CD4C68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42EA"/>
    <w:rsid w:val="00CF4EBF"/>
    <w:rsid w:val="00CF519D"/>
    <w:rsid w:val="00CF5602"/>
    <w:rsid w:val="00CF5A41"/>
    <w:rsid w:val="00CF7563"/>
    <w:rsid w:val="00D0135F"/>
    <w:rsid w:val="00D0223A"/>
    <w:rsid w:val="00D037B4"/>
    <w:rsid w:val="00D06F0A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17B45"/>
    <w:rsid w:val="00D200DB"/>
    <w:rsid w:val="00D203ED"/>
    <w:rsid w:val="00D21FB0"/>
    <w:rsid w:val="00D22D7A"/>
    <w:rsid w:val="00D25ACE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678"/>
    <w:rsid w:val="00D32DC0"/>
    <w:rsid w:val="00D41DFB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50C"/>
    <w:rsid w:val="00D57676"/>
    <w:rsid w:val="00D609FC"/>
    <w:rsid w:val="00D62CE4"/>
    <w:rsid w:val="00D6435A"/>
    <w:rsid w:val="00D64C3E"/>
    <w:rsid w:val="00D65E26"/>
    <w:rsid w:val="00D66182"/>
    <w:rsid w:val="00D6713B"/>
    <w:rsid w:val="00D6790A"/>
    <w:rsid w:val="00D67D63"/>
    <w:rsid w:val="00D70101"/>
    <w:rsid w:val="00D70A4C"/>
    <w:rsid w:val="00D71637"/>
    <w:rsid w:val="00D718A3"/>
    <w:rsid w:val="00D725A7"/>
    <w:rsid w:val="00D72DE2"/>
    <w:rsid w:val="00D73712"/>
    <w:rsid w:val="00D76A10"/>
    <w:rsid w:val="00D80484"/>
    <w:rsid w:val="00D80F91"/>
    <w:rsid w:val="00D827C9"/>
    <w:rsid w:val="00D844FB"/>
    <w:rsid w:val="00D84AFD"/>
    <w:rsid w:val="00D86428"/>
    <w:rsid w:val="00D866D6"/>
    <w:rsid w:val="00D86AE6"/>
    <w:rsid w:val="00D8739A"/>
    <w:rsid w:val="00D912F7"/>
    <w:rsid w:val="00D917CF"/>
    <w:rsid w:val="00D92E38"/>
    <w:rsid w:val="00D95AA7"/>
    <w:rsid w:val="00D972BB"/>
    <w:rsid w:val="00D9738D"/>
    <w:rsid w:val="00DA009D"/>
    <w:rsid w:val="00DA19C4"/>
    <w:rsid w:val="00DA1AA1"/>
    <w:rsid w:val="00DA3586"/>
    <w:rsid w:val="00DA35AD"/>
    <w:rsid w:val="00DA3BB0"/>
    <w:rsid w:val="00DA3F67"/>
    <w:rsid w:val="00DA49EA"/>
    <w:rsid w:val="00DA63F9"/>
    <w:rsid w:val="00DA7328"/>
    <w:rsid w:val="00DB0AC9"/>
    <w:rsid w:val="00DB1DFF"/>
    <w:rsid w:val="00DB2916"/>
    <w:rsid w:val="00DB3680"/>
    <w:rsid w:val="00DB3B28"/>
    <w:rsid w:val="00DB3C6D"/>
    <w:rsid w:val="00DB6798"/>
    <w:rsid w:val="00DB6BD5"/>
    <w:rsid w:val="00DC2AD1"/>
    <w:rsid w:val="00DC357E"/>
    <w:rsid w:val="00DC470C"/>
    <w:rsid w:val="00DC4B9A"/>
    <w:rsid w:val="00DC4E9F"/>
    <w:rsid w:val="00DC6A77"/>
    <w:rsid w:val="00DC73E6"/>
    <w:rsid w:val="00DC7B45"/>
    <w:rsid w:val="00DC7C6E"/>
    <w:rsid w:val="00DD496D"/>
    <w:rsid w:val="00DD503A"/>
    <w:rsid w:val="00DD707D"/>
    <w:rsid w:val="00DD71E0"/>
    <w:rsid w:val="00DE254F"/>
    <w:rsid w:val="00DE3B92"/>
    <w:rsid w:val="00DE6419"/>
    <w:rsid w:val="00DF1EAA"/>
    <w:rsid w:val="00DF2019"/>
    <w:rsid w:val="00DF6FDF"/>
    <w:rsid w:val="00E01D9B"/>
    <w:rsid w:val="00E02454"/>
    <w:rsid w:val="00E02A91"/>
    <w:rsid w:val="00E02CB1"/>
    <w:rsid w:val="00E030E9"/>
    <w:rsid w:val="00E04427"/>
    <w:rsid w:val="00E04CA9"/>
    <w:rsid w:val="00E05181"/>
    <w:rsid w:val="00E05939"/>
    <w:rsid w:val="00E05F60"/>
    <w:rsid w:val="00E0632B"/>
    <w:rsid w:val="00E07B83"/>
    <w:rsid w:val="00E11D43"/>
    <w:rsid w:val="00E138C3"/>
    <w:rsid w:val="00E13FC4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6B45"/>
    <w:rsid w:val="00E26C55"/>
    <w:rsid w:val="00E27636"/>
    <w:rsid w:val="00E27921"/>
    <w:rsid w:val="00E306BE"/>
    <w:rsid w:val="00E332D0"/>
    <w:rsid w:val="00E3365B"/>
    <w:rsid w:val="00E34CBC"/>
    <w:rsid w:val="00E34E60"/>
    <w:rsid w:val="00E368D5"/>
    <w:rsid w:val="00E368EC"/>
    <w:rsid w:val="00E375A0"/>
    <w:rsid w:val="00E4001B"/>
    <w:rsid w:val="00E4341A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3F63"/>
    <w:rsid w:val="00E54C07"/>
    <w:rsid w:val="00E556A6"/>
    <w:rsid w:val="00E57656"/>
    <w:rsid w:val="00E630C2"/>
    <w:rsid w:val="00E66AB1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20F"/>
    <w:rsid w:val="00E8466B"/>
    <w:rsid w:val="00E84F93"/>
    <w:rsid w:val="00E909E0"/>
    <w:rsid w:val="00E90DCA"/>
    <w:rsid w:val="00E92C5A"/>
    <w:rsid w:val="00E93267"/>
    <w:rsid w:val="00E93F5A"/>
    <w:rsid w:val="00E9431A"/>
    <w:rsid w:val="00E9538A"/>
    <w:rsid w:val="00E95F2A"/>
    <w:rsid w:val="00E9625A"/>
    <w:rsid w:val="00E9746D"/>
    <w:rsid w:val="00EA0CC5"/>
    <w:rsid w:val="00EA1FBF"/>
    <w:rsid w:val="00EA2B31"/>
    <w:rsid w:val="00EA45FF"/>
    <w:rsid w:val="00EA52A4"/>
    <w:rsid w:val="00EA5304"/>
    <w:rsid w:val="00EA6063"/>
    <w:rsid w:val="00EA7089"/>
    <w:rsid w:val="00EA76BC"/>
    <w:rsid w:val="00EA7C43"/>
    <w:rsid w:val="00EB4206"/>
    <w:rsid w:val="00EB5263"/>
    <w:rsid w:val="00EB74F6"/>
    <w:rsid w:val="00EC0331"/>
    <w:rsid w:val="00EC0D4D"/>
    <w:rsid w:val="00EC0E86"/>
    <w:rsid w:val="00EC1F51"/>
    <w:rsid w:val="00EC2396"/>
    <w:rsid w:val="00EC23B9"/>
    <w:rsid w:val="00EC2E28"/>
    <w:rsid w:val="00EC5074"/>
    <w:rsid w:val="00EC60DF"/>
    <w:rsid w:val="00EC6D66"/>
    <w:rsid w:val="00EC7A22"/>
    <w:rsid w:val="00ED003B"/>
    <w:rsid w:val="00ED04B0"/>
    <w:rsid w:val="00ED10A2"/>
    <w:rsid w:val="00ED198E"/>
    <w:rsid w:val="00ED1C0D"/>
    <w:rsid w:val="00ED1C6D"/>
    <w:rsid w:val="00ED1F60"/>
    <w:rsid w:val="00ED207A"/>
    <w:rsid w:val="00ED27A6"/>
    <w:rsid w:val="00ED4508"/>
    <w:rsid w:val="00ED68EF"/>
    <w:rsid w:val="00ED71B3"/>
    <w:rsid w:val="00ED7220"/>
    <w:rsid w:val="00EE043A"/>
    <w:rsid w:val="00EE141E"/>
    <w:rsid w:val="00EE25C9"/>
    <w:rsid w:val="00EE2926"/>
    <w:rsid w:val="00EE2B91"/>
    <w:rsid w:val="00EE348B"/>
    <w:rsid w:val="00EE4E9F"/>
    <w:rsid w:val="00EE4F34"/>
    <w:rsid w:val="00EE5764"/>
    <w:rsid w:val="00EE6F0F"/>
    <w:rsid w:val="00EE6F6B"/>
    <w:rsid w:val="00EE7C0C"/>
    <w:rsid w:val="00EF14FD"/>
    <w:rsid w:val="00EF275D"/>
    <w:rsid w:val="00EF2C88"/>
    <w:rsid w:val="00EF2CC7"/>
    <w:rsid w:val="00EF2E54"/>
    <w:rsid w:val="00EF3653"/>
    <w:rsid w:val="00EF51BE"/>
    <w:rsid w:val="00EF68E7"/>
    <w:rsid w:val="00EF6B8E"/>
    <w:rsid w:val="00F006E1"/>
    <w:rsid w:val="00F01213"/>
    <w:rsid w:val="00F053CC"/>
    <w:rsid w:val="00F05B40"/>
    <w:rsid w:val="00F07025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17F22"/>
    <w:rsid w:val="00F20CCB"/>
    <w:rsid w:val="00F245E6"/>
    <w:rsid w:val="00F24641"/>
    <w:rsid w:val="00F2528C"/>
    <w:rsid w:val="00F26F33"/>
    <w:rsid w:val="00F276CC"/>
    <w:rsid w:val="00F27CF9"/>
    <w:rsid w:val="00F27EA3"/>
    <w:rsid w:val="00F30797"/>
    <w:rsid w:val="00F31A1C"/>
    <w:rsid w:val="00F323D4"/>
    <w:rsid w:val="00F33004"/>
    <w:rsid w:val="00F33A18"/>
    <w:rsid w:val="00F343B3"/>
    <w:rsid w:val="00F347DB"/>
    <w:rsid w:val="00F34D9A"/>
    <w:rsid w:val="00F34E0E"/>
    <w:rsid w:val="00F353EE"/>
    <w:rsid w:val="00F37800"/>
    <w:rsid w:val="00F37AD3"/>
    <w:rsid w:val="00F42092"/>
    <w:rsid w:val="00F420F1"/>
    <w:rsid w:val="00F42B95"/>
    <w:rsid w:val="00F43F04"/>
    <w:rsid w:val="00F44CFD"/>
    <w:rsid w:val="00F45247"/>
    <w:rsid w:val="00F46916"/>
    <w:rsid w:val="00F470F8"/>
    <w:rsid w:val="00F51A55"/>
    <w:rsid w:val="00F527FA"/>
    <w:rsid w:val="00F52C9D"/>
    <w:rsid w:val="00F53898"/>
    <w:rsid w:val="00F541E2"/>
    <w:rsid w:val="00F556D2"/>
    <w:rsid w:val="00F56B42"/>
    <w:rsid w:val="00F6040E"/>
    <w:rsid w:val="00F608A3"/>
    <w:rsid w:val="00F60E3B"/>
    <w:rsid w:val="00F62FFF"/>
    <w:rsid w:val="00F63CB9"/>
    <w:rsid w:val="00F641C6"/>
    <w:rsid w:val="00F65447"/>
    <w:rsid w:val="00F664B3"/>
    <w:rsid w:val="00F666EF"/>
    <w:rsid w:val="00F66AB4"/>
    <w:rsid w:val="00F67916"/>
    <w:rsid w:val="00F67FAE"/>
    <w:rsid w:val="00F73C6A"/>
    <w:rsid w:val="00F742B9"/>
    <w:rsid w:val="00F7647E"/>
    <w:rsid w:val="00F76E4A"/>
    <w:rsid w:val="00F77A25"/>
    <w:rsid w:val="00F8099B"/>
    <w:rsid w:val="00F82D14"/>
    <w:rsid w:val="00F84070"/>
    <w:rsid w:val="00F84074"/>
    <w:rsid w:val="00F84E2A"/>
    <w:rsid w:val="00F85D64"/>
    <w:rsid w:val="00F862D2"/>
    <w:rsid w:val="00F87669"/>
    <w:rsid w:val="00F90F15"/>
    <w:rsid w:val="00F94565"/>
    <w:rsid w:val="00F95C1D"/>
    <w:rsid w:val="00F96709"/>
    <w:rsid w:val="00F97C5D"/>
    <w:rsid w:val="00FA0FCA"/>
    <w:rsid w:val="00FA1102"/>
    <w:rsid w:val="00FA1BCF"/>
    <w:rsid w:val="00FA1CD8"/>
    <w:rsid w:val="00FA2CC9"/>
    <w:rsid w:val="00FA2F7F"/>
    <w:rsid w:val="00FA519F"/>
    <w:rsid w:val="00FB47D5"/>
    <w:rsid w:val="00FB7C6A"/>
    <w:rsid w:val="00FC00F7"/>
    <w:rsid w:val="00FC0715"/>
    <w:rsid w:val="00FC078C"/>
    <w:rsid w:val="00FC192E"/>
    <w:rsid w:val="00FC4FE3"/>
    <w:rsid w:val="00FC6BE6"/>
    <w:rsid w:val="00FC7839"/>
    <w:rsid w:val="00FD123C"/>
    <w:rsid w:val="00FD476E"/>
    <w:rsid w:val="00FD4A33"/>
    <w:rsid w:val="00FD5D7D"/>
    <w:rsid w:val="00FD69F7"/>
    <w:rsid w:val="00FD6CD1"/>
    <w:rsid w:val="00FD710D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B5C"/>
    <w:rsid w:val="00FF1076"/>
    <w:rsid w:val="00FF11E6"/>
    <w:rsid w:val="00FF39B3"/>
    <w:rsid w:val="00FF57B7"/>
    <w:rsid w:val="00FF5E98"/>
    <w:rsid w:val="00FF6723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502D87E-2DA4-4A31-AFDF-C3EB0807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customStyle="1" w:styleId="PL">
    <w:name w:val="PL"/>
    <w:link w:val="PLChar"/>
    <w:rsid w:val="004024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/>
    </w:rPr>
  </w:style>
  <w:style w:type="character" w:customStyle="1" w:styleId="PLChar">
    <w:name w:val="PL Char"/>
    <w:link w:val="PL"/>
    <w:rsid w:val="004024DF"/>
    <w:rPr>
      <w:rFonts w:ascii="Courier New" w:hAnsi="Courier New" w:cs="Times New Roman"/>
      <w:noProof/>
      <w:kern w:val="0"/>
      <w:sz w:val="16"/>
      <w:szCs w:val="20"/>
      <w:lang w:val="en-GB"/>
    </w:rPr>
  </w:style>
  <w:style w:type="character" w:customStyle="1" w:styleId="B1Char1">
    <w:name w:val="B1 Char1"/>
    <w:rsid w:val="000121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4C4DF-9F79-46B9-9799-F1980099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4005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</cp:lastModifiedBy>
  <cp:revision>389</cp:revision>
  <dcterms:created xsi:type="dcterms:W3CDTF">2016-05-12T03:16:00Z</dcterms:created>
  <dcterms:modified xsi:type="dcterms:W3CDTF">2017-03-24T19:05:00Z</dcterms:modified>
</cp:coreProperties>
</file>